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B0B0D" w14:textId="7C21403B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CE796E">
        <w:rPr>
          <w:rFonts w:ascii="Kaiti TC" w:eastAsia="Kaiti TC" w:hAnsi="Kaiti TC"/>
          <w:color w:val="000000" w:themeColor="text1"/>
        </w:rPr>
        <w:t>2</w:t>
      </w:r>
      <w:r w:rsidR="00F87AEB">
        <w:rPr>
          <w:rFonts w:ascii="Kaiti TC" w:eastAsia="Kaiti TC" w:hAnsi="Kaiti TC"/>
          <w:color w:val="000000" w:themeColor="text1"/>
        </w:rPr>
        <w:t>2</w:t>
      </w:r>
      <w:r w:rsidR="00CE796E">
        <w:rPr>
          <w:rFonts w:ascii="Kaiti TC" w:eastAsia="Kaiti TC" w:hAnsi="Kaiti TC"/>
          <w:color w:val="000000" w:themeColor="text1"/>
        </w:rPr>
        <w:t>-</w:t>
      </w:r>
      <w:r w:rsidR="00E52D86">
        <w:rPr>
          <w:rFonts w:ascii="Kaiti TC" w:eastAsia="Kaiti TC" w:hAnsi="Kaiti TC"/>
          <w:color w:val="000000" w:themeColor="text1"/>
        </w:rPr>
        <w:t>0</w:t>
      </w:r>
      <w:r w:rsidR="00F87AEB">
        <w:rPr>
          <w:rFonts w:ascii="Kaiti TC" w:eastAsia="Kaiti TC" w:hAnsi="Kaiti TC"/>
          <w:color w:val="000000" w:themeColor="text1"/>
        </w:rPr>
        <w:t>1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C62BDB">
        <w:rPr>
          <w:rFonts w:ascii="Kaiti TC" w:eastAsia="Kaiti TC" w:hAnsi="Kaiti TC"/>
          <w:color w:val="000000" w:themeColor="text1"/>
        </w:rPr>
        <w:t>1</w:t>
      </w:r>
      <w:r w:rsidR="00F87AEB">
        <w:rPr>
          <w:rFonts w:ascii="Kaiti TC" w:eastAsia="Kaiti TC" w:hAnsi="Kaiti TC"/>
          <w:color w:val="000000" w:themeColor="text1"/>
        </w:rPr>
        <w:t>7</w:t>
      </w:r>
    </w:p>
    <w:p w14:paraId="13CB33E9" w14:textId="2C4A7C9D" w:rsidR="000D6011" w:rsidRPr="0083772A" w:rsidRDefault="002A6F02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4D127F">
        <w:rPr>
          <w:rFonts w:ascii="楷體-繁" w:eastAsia="楷體-繁" w:hAnsi="楷體-繁" w:hint="eastAsia"/>
          <w:b/>
          <w:color w:val="000000" w:themeColor="text1"/>
        </w:rPr>
        <w:t>譯者</w:t>
      </w:r>
      <w:r w:rsidRPr="004D127F">
        <w:rPr>
          <w:rFonts w:ascii="楷體-繁" w:eastAsia="楷體-繁" w:hAnsi="楷體-繁" w:cs="Songti TC" w:hint="eastAsia"/>
          <w:color w:val="000000"/>
        </w:rPr>
        <w:t>．</w:t>
      </w:r>
      <w:r w:rsidRPr="004D127F">
        <w:rPr>
          <w:rFonts w:ascii="楷體-繁" w:eastAsia="楷體-繁" w:hAnsi="楷體-繁" w:hint="eastAsia"/>
          <w:b/>
          <w:color w:val="000000" w:themeColor="text1"/>
        </w:rPr>
        <w:t>陳如月</w:t>
      </w:r>
      <w:r w:rsidR="000D6011" w:rsidRPr="0083772A">
        <w:rPr>
          <w:rFonts w:ascii="Kaiti TC" w:eastAsia="Kaiti TC" w:hAnsi="Kaiti TC" w:hint="eastAsia"/>
          <w:b/>
          <w:color w:val="000000" w:themeColor="text1"/>
        </w:rPr>
        <w:t xml:space="preserve"> </w:t>
      </w:r>
    </w:p>
    <w:p w14:paraId="2FBC638D" w14:textId="55DB69FE" w:rsidR="00B57F01" w:rsidRPr="004E1701" w:rsidRDefault="00564329" w:rsidP="004E1701">
      <w:pPr>
        <w:rPr>
          <w:rFonts w:ascii="楷體-繁" w:eastAsia="楷體-繁" w:hAnsi="楷體-繁"/>
          <w:color w:val="000000" w:themeColor="text1"/>
          <w:sz w:val="32"/>
          <w:szCs w:val="32"/>
        </w:rPr>
      </w:pPr>
      <w:r w:rsidRPr="00B44AF5">
        <w:rPr>
          <w:rFonts w:ascii="楷體-繁" w:eastAsia="楷體-繁" w:hAnsi="楷體-繁"/>
          <w:color w:val="000000" w:themeColor="text1"/>
          <w:sz w:val="32"/>
          <w:szCs w:val="32"/>
        </w:rPr>
        <w:t>202</w:t>
      </w:r>
      <w:r>
        <w:rPr>
          <w:rFonts w:ascii="楷體-繁" w:eastAsia="楷體-繁" w:hAnsi="楷體-繁"/>
          <w:color w:val="000000" w:themeColor="text1"/>
          <w:sz w:val="32"/>
          <w:szCs w:val="32"/>
        </w:rPr>
        <w:t>6</w:t>
      </w:r>
      <w:r w:rsidRPr="00B44AF5">
        <w:rPr>
          <w:rFonts w:ascii="楷體-繁" w:eastAsia="楷體-繁" w:hAnsi="楷體-繁"/>
          <w:color w:val="000000" w:themeColor="text1"/>
          <w:sz w:val="32"/>
          <w:szCs w:val="32"/>
        </w:rPr>
        <w:t>年全球藥</w:t>
      </w:r>
      <w:r>
        <w:rPr>
          <w:rFonts w:ascii="楷體-繁" w:eastAsia="楷體-繁" w:hAnsi="楷體-繁" w:hint="eastAsia"/>
          <w:color w:val="000000" w:themeColor="text1"/>
          <w:sz w:val="32"/>
          <w:szCs w:val="32"/>
        </w:rPr>
        <w:t>品</w:t>
      </w:r>
      <w:r w:rsidRPr="00B44AF5">
        <w:rPr>
          <w:rFonts w:ascii="楷體-繁" w:eastAsia="楷體-繁" w:hAnsi="楷體-繁"/>
          <w:color w:val="000000" w:themeColor="text1"/>
          <w:sz w:val="32"/>
          <w:szCs w:val="32"/>
        </w:rPr>
        <w:t>支出將達到1.</w:t>
      </w:r>
      <w:r>
        <w:rPr>
          <w:rFonts w:ascii="楷體-繁" w:eastAsia="楷體-繁" w:hAnsi="楷體-繁"/>
          <w:color w:val="000000" w:themeColor="text1"/>
          <w:sz w:val="32"/>
          <w:szCs w:val="32"/>
        </w:rPr>
        <w:t>8</w:t>
      </w:r>
      <w:r w:rsidRPr="00B44AF5">
        <w:rPr>
          <w:rFonts w:ascii="楷體-繁" w:eastAsia="楷體-繁" w:hAnsi="楷體-繁" w:hint="eastAsia"/>
          <w:color w:val="000000" w:themeColor="text1"/>
          <w:sz w:val="32"/>
          <w:szCs w:val="32"/>
        </w:rPr>
        <w:t>兆</w:t>
      </w:r>
      <w:r w:rsidRPr="00B44AF5">
        <w:rPr>
          <w:rFonts w:ascii="楷體-繁" w:eastAsia="楷體-繁" w:hAnsi="楷體-繁"/>
          <w:color w:val="000000" w:themeColor="text1"/>
          <w:sz w:val="32"/>
          <w:szCs w:val="32"/>
        </w:rPr>
        <w:t>美元</w:t>
      </w:r>
    </w:p>
    <w:p w14:paraId="2C723260" w14:textId="5BA6FFB5" w:rsidR="004E1701" w:rsidRDefault="004E1701" w:rsidP="00A01EF0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Songti TC"/>
          <w:color w:val="000000" w:themeColor="text1"/>
        </w:rPr>
      </w:pPr>
      <w:r w:rsidRPr="00E021DC">
        <w:rPr>
          <w:rFonts w:ascii="楷體-繁" w:eastAsia="楷體-繁" w:hAnsi="楷體-繁"/>
          <w:color w:val="000000" w:themeColor="text1"/>
        </w:rPr>
        <w:t>根據IQVIA</w:t>
      </w:r>
      <w:r w:rsidRPr="00E021DC">
        <w:rPr>
          <w:rFonts w:ascii="楷體-繁" w:eastAsia="楷體-繁" w:hAnsi="楷體-繁" w:cs="Segoe UI"/>
          <w:color w:val="000000" w:themeColor="text1"/>
        </w:rPr>
        <w:t xml:space="preserve"> Institute for Human Data Science</w:t>
      </w:r>
      <w:r w:rsidRPr="00E021DC">
        <w:rPr>
          <w:rFonts w:ascii="楷體-繁" w:eastAsia="楷體-繁" w:hAnsi="楷體-繁"/>
          <w:color w:val="000000" w:themeColor="text1"/>
        </w:rPr>
        <w:t>發</w:t>
      </w:r>
      <w:r w:rsidR="00D65F9A">
        <w:rPr>
          <w:rFonts w:ascii="楷體-繁" w:eastAsia="楷體-繁" w:hAnsi="楷體-繁" w:hint="eastAsia"/>
          <w:color w:val="000000" w:themeColor="text1"/>
        </w:rPr>
        <w:t>布</w:t>
      </w:r>
      <w:r w:rsidRPr="00E021DC">
        <w:rPr>
          <w:rFonts w:ascii="楷體-繁" w:eastAsia="楷體-繁" w:hAnsi="楷體-繁"/>
          <w:color w:val="000000" w:themeColor="text1"/>
        </w:rPr>
        <w:t>新的研究報告</w:t>
      </w:r>
      <w:r w:rsidRPr="00E021DC">
        <w:rPr>
          <w:rFonts w:ascii="楷體-繁" w:eastAsia="楷體-繁" w:hAnsi="楷體-繁" w:cs="Songti TC" w:hint="eastAsia"/>
          <w:color w:val="000000" w:themeColor="text1"/>
        </w:rPr>
        <w:t>『</w:t>
      </w:r>
      <w:r>
        <w:rPr>
          <w:rFonts w:ascii="楷體-繁" w:eastAsia="楷體-繁" w:hAnsi="楷體-繁"/>
          <w:b/>
          <w:bCs/>
        </w:rPr>
        <w:t xml:space="preserve">The </w:t>
      </w:r>
      <w:r w:rsidRPr="00F277E5">
        <w:rPr>
          <w:rFonts w:ascii="楷體-繁" w:eastAsia="楷體-繁" w:hAnsi="楷體-繁"/>
          <w:b/>
          <w:bCs/>
        </w:rPr>
        <w:t xml:space="preserve">Global </w:t>
      </w:r>
      <w:r>
        <w:rPr>
          <w:rFonts w:ascii="楷體-繁" w:eastAsia="楷體-繁" w:hAnsi="楷體-繁"/>
          <w:b/>
          <w:bCs/>
        </w:rPr>
        <w:t xml:space="preserve">Use of </w:t>
      </w:r>
      <w:r w:rsidRPr="00F277E5">
        <w:rPr>
          <w:rFonts w:ascii="楷體-繁" w:eastAsia="楷體-繁" w:hAnsi="楷體-繁"/>
          <w:b/>
          <w:bCs/>
        </w:rPr>
        <w:t>Medicine</w:t>
      </w:r>
      <w:r>
        <w:rPr>
          <w:rFonts w:ascii="楷體-繁" w:eastAsia="楷體-繁" w:hAnsi="楷體-繁"/>
          <w:b/>
          <w:bCs/>
        </w:rPr>
        <w:t>s 2022</w:t>
      </w:r>
      <w:r w:rsidRPr="00E021DC">
        <w:rPr>
          <w:rFonts w:ascii="楷體-繁" w:eastAsia="楷體-繁" w:hAnsi="楷體-繁" w:cs="Songti TC" w:hint="eastAsia"/>
          <w:color w:val="000000" w:themeColor="text1"/>
        </w:rPr>
        <w:t>』</w:t>
      </w:r>
      <w:r w:rsidRPr="00E021DC">
        <w:rPr>
          <w:rFonts w:ascii="楷體-繁" w:eastAsia="楷體-繁" w:hAnsi="楷體-繁"/>
          <w:color w:val="000000" w:themeColor="text1"/>
        </w:rPr>
        <w:t>，到202</w:t>
      </w:r>
      <w:r>
        <w:rPr>
          <w:rFonts w:ascii="楷體-繁" w:eastAsia="楷體-繁" w:hAnsi="楷體-繁"/>
          <w:color w:val="000000" w:themeColor="text1"/>
        </w:rPr>
        <w:t>6</w:t>
      </w:r>
      <w:r w:rsidRPr="00E021DC">
        <w:rPr>
          <w:rFonts w:ascii="楷體-繁" w:eastAsia="楷體-繁" w:hAnsi="楷體-繁"/>
          <w:color w:val="000000" w:themeColor="text1"/>
        </w:rPr>
        <w:t>年，全球藥</w:t>
      </w:r>
      <w:r>
        <w:rPr>
          <w:rFonts w:ascii="楷體-繁" w:eastAsia="楷體-繁" w:hAnsi="楷體-繁" w:hint="eastAsia"/>
          <w:color w:val="000000" w:themeColor="text1"/>
        </w:rPr>
        <w:t>品</w:t>
      </w:r>
      <w:r w:rsidRPr="00E021DC">
        <w:rPr>
          <w:rFonts w:ascii="楷體-繁" w:eastAsia="楷體-繁" w:hAnsi="楷體-繁"/>
          <w:color w:val="000000" w:themeColor="text1"/>
        </w:rPr>
        <w:t>支出（使用發票價格）預計將以3~6%的</w:t>
      </w:r>
      <w:r w:rsidRPr="00E021DC">
        <w:rPr>
          <w:rFonts w:ascii="楷體-繁" w:eastAsia="楷體-繁" w:hAnsi="楷體-繁" w:hint="eastAsia"/>
          <w:color w:val="000000" w:themeColor="text1"/>
        </w:rPr>
        <w:t>年均複合成長率（Compound Annual Growth Rate，簡稱CAGR）</w:t>
      </w:r>
      <w:r>
        <w:rPr>
          <w:rFonts w:ascii="楷體-繁" w:eastAsia="楷體-繁" w:hAnsi="楷體-繁" w:hint="eastAsia"/>
          <w:color w:val="000000" w:themeColor="text1"/>
        </w:rPr>
        <w:t>成</w:t>
      </w:r>
      <w:r w:rsidRPr="00E021DC">
        <w:rPr>
          <w:rFonts w:ascii="楷體-繁" w:eastAsia="楷體-繁" w:hAnsi="楷體-繁"/>
          <w:color w:val="000000" w:themeColor="text1"/>
        </w:rPr>
        <w:t>長，到202</w:t>
      </w:r>
      <w:r>
        <w:rPr>
          <w:rFonts w:ascii="楷體-繁" w:eastAsia="楷體-繁" w:hAnsi="楷體-繁"/>
          <w:color w:val="000000" w:themeColor="text1"/>
        </w:rPr>
        <w:t>6</w:t>
      </w:r>
      <w:r w:rsidRPr="00E021DC">
        <w:rPr>
          <w:rFonts w:ascii="楷體-繁" w:eastAsia="楷體-繁" w:hAnsi="楷體-繁"/>
          <w:color w:val="000000" w:themeColor="text1"/>
        </w:rPr>
        <w:t>年達到約1.</w:t>
      </w:r>
      <w:r>
        <w:rPr>
          <w:rFonts w:ascii="楷體-繁" w:eastAsia="楷體-繁" w:hAnsi="楷體-繁"/>
          <w:color w:val="000000" w:themeColor="text1"/>
        </w:rPr>
        <w:t>8</w:t>
      </w:r>
      <w:r w:rsidRPr="00E021DC">
        <w:rPr>
          <w:rFonts w:ascii="楷體-繁" w:eastAsia="楷體-繁" w:hAnsi="楷體-繁" w:hint="eastAsia"/>
          <w:color w:val="000000" w:themeColor="text1"/>
        </w:rPr>
        <w:t>兆</w:t>
      </w:r>
      <w:r w:rsidRPr="00E021DC">
        <w:rPr>
          <w:rFonts w:ascii="楷體-繁" w:eastAsia="楷體-繁" w:hAnsi="楷體-繁"/>
          <w:color w:val="000000" w:themeColor="text1"/>
        </w:rPr>
        <w:t>美元</w:t>
      </w:r>
      <w:r w:rsidRPr="00E021DC">
        <w:rPr>
          <w:rFonts w:ascii="楷體-繁" w:eastAsia="楷體-繁" w:hAnsi="楷體-繁" w:cs="Songti TC"/>
          <w:color w:val="000000" w:themeColor="text1"/>
        </w:rPr>
        <w:t>，</w:t>
      </w:r>
      <w:r>
        <w:rPr>
          <w:rFonts w:ascii="楷體-繁" w:eastAsia="楷體-繁" w:hAnsi="楷體-繁" w:cs="Songti TC" w:hint="eastAsia"/>
          <w:color w:val="000000" w:themeColor="text1"/>
        </w:rPr>
        <w:t>其中</w:t>
      </w:r>
      <w:r w:rsidRPr="00E021DC">
        <w:rPr>
          <w:rFonts w:ascii="楷體-繁" w:eastAsia="楷體-繁" w:hAnsi="楷體-繁" w:cs="Songti TC"/>
          <w:color w:val="000000" w:themeColor="text1"/>
        </w:rPr>
        <w:t>包括COVID-19疫苗</w:t>
      </w:r>
      <w:r w:rsidR="00A01EF0">
        <w:rPr>
          <w:rFonts w:ascii="楷體-繁" w:eastAsia="楷體-繁" w:hAnsi="楷體-繁" w:cs="Songti TC" w:hint="eastAsia"/>
          <w:color w:val="000000" w:themeColor="text1"/>
        </w:rPr>
        <w:t>和</w:t>
      </w:r>
      <w:r w:rsidRPr="004E1701">
        <w:rPr>
          <w:rFonts w:ascii="楷體-繁" w:eastAsia="楷體-繁" w:hAnsi="楷體-繁" w:cs="Songti TC" w:hint="eastAsia"/>
          <w:color w:val="000000" w:themeColor="text1"/>
        </w:rPr>
        <w:t>新</w:t>
      </w:r>
      <w:r w:rsidRPr="004E1701">
        <w:rPr>
          <w:rFonts w:ascii="楷體-繁" w:eastAsia="楷體-繁" w:hAnsi="楷體-繁" w:cs="Songti TC"/>
          <w:color w:val="000000" w:themeColor="text1"/>
        </w:rPr>
        <w:t>療法</w:t>
      </w:r>
      <w:r w:rsidRPr="00E021DC">
        <w:rPr>
          <w:rFonts w:ascii="楷體-繁" w:eastAsia="楷體-繁" w:hAnsi="楷體-繁" w:cs="Songti TC"/>
          <w:color w:val="000000" w:themeColor="text1"/>
        </w:rPr>
        <w:t>的支出。</w:t>
      </w:r>
    </w:p>
    <w:p w14:paraId="6212297D" w14:textId="28532371" w:rsidR="00C6040D" w:rsidRDefault="00C6040D" w:rsidP="006D7D82">
      <w:pPr>
        <w:spacing w:beforeLines="100" w:before="360" w:line="0" w:lineRule="atLeast"/>
        <w:ind w:firstLineChars="100" w:firstLine="240"/>
        <w:jc w:val="both"/>
        <w:rPr>
          <w:rFonts w:ascii="楷體-繁" w:eastAsia="楷體-繁" w:hAnsi="楷體-繁" w:cs="Songti TC"/>
          <w:color w:val="000000" w:themeColor="text1"/>
        </w:rPr>
      </w:pPr>
      <w:r w:rsidRPr="00C6040D">
        <w:rPr>
          <w:rFonts w:ascii="楷體-繁" w:eastAsia="楷體-繁" w:hAnsi="楷體-繁" w:cs="Songti TC"/>
          <w:noProof/>
          <w:color w:val="000000" w:themeColor="text1"/>
        </w:rPr>
        <w:drawing>
          <wp:inline distT="0" distB="0" distL="0" distR="0" wp14:anchorId="1883770D" wp14:editId="4DF7522F">
            <wp:extent cx="6083935" cy="3648075"/>
            <wp:effectExtent l="12700" t="12700" r="1206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36480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563E" w14:textId="6BB57F43" w:rsidR="00C40EF9" w:rsidRDefault="0050084A" w:rsidP="00340BB8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Songti TC"/>
          <w:color w:val="000000" w:themeColor="text1"/>
        </w:rPr>
      </w:pPr>
      <w:r w:rsidRPr="00C40EF9">
        <w:rPr>
          <w:rFonts w:ascii="楷體-繁" w:eastAsia="楷體-繁" w:hAnsi="楷體-繁" w:cs="Songti TC"/>
          <w:color w:val="000000" w:themeColor="text1"/>
        </w:rPr>
        <w:t>自COVID-19疫苗推出以來至2026年，其累計總支出</w:t>
      </w:r>
      <w:r w:rsidR="001F53E9" w:rsidRPr="00C40EF9">
        <w:rPr>
          <w:rFonts w:ascii="楷體-繁" w:eastAsia="楷體-繁" w:hAnsi="楷體-繁" w:cs="Songti TC"/>
          <w:color w:val="000000" w:themeColor="text1"/>
        </w:rPr>
        <w:t>預計</w:t>
      </w:r>
      <w:r w:rsidRPr="00C40EF9">
        <w:rPr>
          <w:rFonts w:ascii="楷體-繁" w:eastAsia="楷體-繁" w:hAnsi="楷體-繁" w:cs="Songti TC"/>
          <w:color w:val="000000" w:themeColor="text1"/>
        </w:rPr>
        <w:t>為2510 億美元，</w:t>
      </w:r>
      <w:r w:rsidR="007F1466" w:rsidRPr="00C40EF9">
        <w:rPr>
          <w:rFonts w:ascii="楷體-繁" w:eastAsia="楷體-繁" w:hAnsi="楷體-繁" w:cs="Songti TC"/>
          <w:color w:val="000000" w:themeColor="text1"/>
        </w:rPr>
        <w:t>主要來自大多數國家將於2022年完成的第一波疫苗接種。</w:t>
      </w:r>
      <w:r w:rsidR="00C40EF9" w:rsidRPr="00C40EF9">
        <w:rPr>
          <w:rFonts w:ascii="楷體-繁" w:eastAsia="楷體-繁" w:hAnsi="楷體-繁" w:hint="eastAsia"/>
          <w:color w:val="000000" w:themeColor="text1"/>
        </w:rPr>
        <w:t>在隨後的幾年</w:t>
      </w:r>
      <w:r w:rsidR="001F53E9" w:rsidRPr="00DF108E">
        <w:rPr>
          <w:rFonts w:ascii="楷體-繁" w:eastAsia="楷體-繁" w:hAnsi="楷體-繁"/>
          <w:color w:val="000000" w:themeColor="text1"/>
        </w:rPr>
        <w:t>裏</w:t>
      </w:r>
      <w:r w:rsidR="00C40EF9" w:rsidRPr="00C40EF9">
        <w:rPr>
          <w:rFonts w:ascii="楷體-繁" w:eastAsia="楷體-繁" w:hAnsi="楷體-繁" w:cs="PingFang TC" w:hint="eastAsia"/>
          <w:color w:val="000000" w:themeColor="text1"/>
        </w:rPr>
        <w:t>，</w:t>
      </w:r>
      <w:r w:rsidR="001F53E9" w:rsidRPr="00C40EF9">
        <w:rPr>
          <w:rFonts w:ascii="楷體-繁" w:eastAsia="楷體-繁" w:hAnsi="楷體-繁" w:cs="Songti TC"/>
          <w:color w:val="000000" w:themeColor="text1"/>
        </w:rPr>
        <w:t>預計每年或更頻繁地需要</w:t>
      </w:r>
      <w:r w:rsidR="001F53E9">
        <w:rPr>
          <w:rFonts w:ascii="楷體-繁" w:eastAsia="楷體-繁" w:hAnsi="楷體-繁" w:cs="Songti TC" w:hint="eastAsia"/>
          <w:color w:val="000000" w:themeColor="text1"/>
        </w:rPr>
        <w:t>追加</w:t>
      </w:r>
      <w:r w:rsidR="001F53E9" w:rsidRPr="00C40EF9">
        <w:rPr>
          <w:rFonts w:ascii="楷體-繁" w:eastAsia="楷體-繁" w:hAnsi="楷體-繁" w:cs="Songti TC"/>
          <w:color w:val="000000" w:themeColor="text1"/>
        </w:rPr>
        <w:t>注射</w:t>
      </w:r>
      <w:r w:rsidR="001F53E9" w:rsidRPr="00C40EF9">
        <w:rPr>
          <w:rFonts w:ascii="楷體-繁" w:eastAsia="楷體-繁" w:hAnsi="楷體-繁" w:cs="PingFang TC" w:hint="eastAsia"/>
          <w:color w:val="000000" w:themeColor="text1"/>
        </w:rPr>
        <w:t>，</w:t>
      </w:r>
      <w:r w:rsidR="00C40EF9" w:rsidRPr="00C40EF9">
        <w:rPr>
          <w:rFonts w:ascii="楷體-繁" w:eastAsia="楷體-繁" w:hAnsi="楷體-繁"/>
          <w:color w:val="000000" w:themeColor="text1"/>
        </w:rPr>
        <w:t>因為免疫力有限的持久性和病毒變</w:t>
      </w:r>
      <w:r w:rsidR="00C40EF9" w:rsidRPr="00C40EF9">
        <w:rPr>
          <w:rFonts w:ascii="楷體-繁" w:eastAsia="楷體-繁" w:hAnsi="楷體-繁" w:hint="eastAsia"/>
          <w:color w:val="000000" w:themeColor="text1"/>
        </w:rPr>
        <w:t>異</w:t>
      </w:r>
      <w:r w:rsidR="00C40EF9" w:rsidRPr="00C40EF9">
        <w:rPr>
          <w:rFonts w:ascii="楷體-繁" w:eastAsia="楷體-繁" w:hAnsi="楷體-繁"/>
          <w:color w:val="000000" w:themeColor="text1"/>
        </w:rPr>
        <w:t>的持續出現</w:t>
      </w:r>
      <w:r w:rsidR="00C40EF9" w:rsidRPr="00893F30">
        <w:rPr>
          <w:rFonts w:ascii="楷體-繁" w:eastAsia="楷體-繁" w:hAnsi="楷體-繁" w:hint="eastAsia"/>
          <w:color w:val="000000" w:themeColor="text1"/>
        </w:rPr>
        <w:t>推動</w:t>
      </w:r>
      <w:r w:rsidR="00C40EF9" w:rsidRPr="00C40EF9">
        <w:rPr>
          <w:rFonts w:ascii="楷體-繁" w:eastAsia="楷體-繁" w:hAnsi="楷體-繁" w:hint="eastAsia"/>
          <w:color w:val="000000" w:themeColor="text1"/>
        </w:rPr>
        <w:t>追加接種的建議</w:t>
      </w:r>
      <w:r w:rsidR="00C40EF9" w:rsidRPr="00C40EF9">
        <w:rPr>
          <w:rFonts w:ascii="楷體-繁" w:eastAsia="楷體-繁" w:hAnsi="楷體-繁" w:cs="Songti TC"/>
          <w:color w:val="000000" w:themeColor="text1"/>
        </w:rPr>
        <w:t>。</w:t>
      </w:r>
    </w:p>
    <w:p w14:paraId="45D7DF12" w14:textId="542C082C" w:rsidR="00E86BF8" w:rsidRDefault="000E5765" w:rsidP="00340BB8">
      <w:pPr>
        <w:spacing w:beforeLines="50" w:before="180" w:line="0" w:lineRule="atLeast"/>
        <w:ind w:firstLineChars="100" w:firstLine="240"/>
        <w:jc w:val="both"/>
        <w:rPr>
          <w:rFonts w:ascii="楷體-繁" w:eastAsia="楷體-繁" w:hAnsi="楷體-繁" w:cs="PingFang TC"/>
          <w:color w:val="000000" w:themeColor="text1"/>
        </w:rPr>
      </w:pPr>
      <w:r w:rsidRPr="0058574C">
        <w:rPr>
          <w:rFonts w:ascii="楷體-繁" w:eastAsia="楷體-繁" w:hAnsi="楷體-繁" w:cs="Songti TC"/>
          <w:color w:val="000000" w:themeColor="text1"/>
        </w:rPr>
        <w:t>IQVIA</w:t>
      </w:r>
      <w:r w:rsidRPr="0058574C">
        <w:rPr>
          <w:rFonts w:ascii="楷體-繁" w:eastAsia="楷體-繁" w:hAnsi="楷體-繁" w:cs="Songti TC" w:hint="eastAsia"/>
          <w:color w:val="000000" w:themeColor="text1"/>
        </w:rPr>
        <w:t>資深</w:t>
      </w:r>
      <w:r w:rsidRPr="0058574C">
        <w:rPr>
          <w:rFonts w:ascii="楷體-繁" w:eastAsia="楷體-繁" w:hAnsi="楷體-繁" w:cs="Songti TC"/>
          <w:color w:val="000000" w:themeColor="text1"/>
        </w:rPr>
        <w:t>副總裁兼IQVIA</w:t>
      </w:r>
      <w:r w:rsidRPr="0058574C">
        <w:rPr>
          <w:rFonts w:ascii="楷體-繁" w:eastAsia="楷體-繁" w:hAnsi="楷體-繁"/>
          <w:color w:val="000000" w:themeColor="text1"/>
        </w:rPr>
        <w:t xml:space="preserve"> Institute for Human Data Science</w:t>
      </w:r>
      <w:r w:rsidRPr="0058574C">
        <w:rPr>
          <w:rFonts w:ascii="楷體-繁" w:eastAsia="楷體-繁" w:hAnsi="楷體-繁" w:cs="Songti TC"/>
          <w:color w:val="000000" w:themeColor="text1"/>
        </w:rPr>
        <w:t>執行董事Murray Aitken 說</w:t>
      </w:r>
      <w:r w:rsidR="00D43C58" w:rsidRPr="0058574C">
        <w:rPr>
          <w:rFonts w:ascii="楷體-繁" w:eastAsia="楷體-繁" w:hAnsi="楷體-繁"/>
          <w:color w:val="000000" w:themeColor="text1"/>
        </w:rPr>
        <w:t>：「</w:t>
      </w:r>
      <w:r w:rsidR="00D43C58" w:rsidRPr="0058574C">
        <w:rPr>
          <w:rFonts w:ascii="楷體-繁" w:eastAsia="楷體-繁" w:hAnsi="楷體-繁" w:cs="Songti TC"/>
          <w:color w:val="000000" w:themeColor="text1"/>
        </w:rPr>
        <w:t>雖然</w:t>
      </w:r>
      <w:r w:rsidR="00D43C58" w:rsidRPr="0058574C">
        <w:rPr>
          <w:rFonts w:ascii="楷體-繁" w:eastAsia="楷體-繁" w:hAnsi="楷體-繁" w:cs="Songti TC" w:hint="eastAsia"/>
          <w:color w:val="000000" w:themeColor="text1"/>
        </w:rPr>
        <w:t>疫情</w:t>
      </w:r>
      <w:r w:rsidR="00D43C58" w:rsidRPr="0058574C">
        <w:rPr>
          <w:rFonts w:ascii="楷體-繁" w:eastAsia="楷體-繁" w:hAnsi="楷體-繁" w:cs="Songti TC"/>
          <w:color w:val="000000" w:themeColor="text1"/>
        </w:rPr>
        <w:t>對</w:t>
      </w:r>
      <w:r w:rsidR="00D43C58" w:rsidRPr="0058574C">
        <w:rPr>
          <w:rFonts w:ascii="楷體-繁" w:eastAsia="楷體-繁" w:hAnsi="楷體-繁" w:cs="Songti TC" w:hint="eastAsia"/>
          <w:color w:val="000000" w:themeColor="text1"/>
        </w:rPr>
        <w:t>病</w:t>
      </w:r>
      <w:r w:rsidR="00D43C58" w:rsidRPr="0058574C">
        <w:rPr>
          <w:rFonts w:ascii="楷體-繁" w:eastAsia="楷體-繁" w:hAnsi="楷體-繁" w:cs="Songti TC"/>
          <w:color w:val="000000" w:themeColor="text1"/>
        </w:rPr>
        <w:t>患和</w:t>
      </w:r>
      <w:r w:rsidR="00D43C58" w:rsidRPr="0058574C">
        <w:rPr>
          <w:rFonts w:ascii="楷體-繁" w:eastAsia="楷體-繁" w:hAnsi="楷體-繁" w:cs="Songti TC" w:hint="eastAsia"/>
          <w:color w:val="000000" w:themeColor="text1"/>
        </w:rPr>
        <w:t>健康照護體系</w:t>
      </w:r>
      <w:r w:rsidR="00D43C58" w:rsidRPr="0058574C">
        <w:rPr>
          <w:rFonts w:ascii="楷體-繁" w:eastAsia="楷體-繁" w:hAnsi="楷體-繁" w:cs="Songti TC"/>
          <w:color w:val="000000" w:themeColor="text1"/>
        </w:rPr>
        <w:t>造成極大的破壞，但</w:t>
      </w:r>
      <w:r w:rsidR="00D43C58" w:rsidRPr="0058574C">
        <w:rPr>
          <w:rFonts w:ascii="楷體-繁" w:eastAsia="楷體-繁" w:hAnsi="楷體-繁" w:cs="Songti TC" w:hint="eastAsia"/>
          <w:color w:val="000000" w:themeColor="text1"/>
        </w:rPr>
        <w:t>疫情</w:t>
      </w:r>
      <w:r w:rsidR="00D43C58" w:rsidRPr="0058574C">
        <w:rPr>
          <w:rFonts w:ascii="楷體-繁" w:eastAsia="楷體-繁" w:hAnsi="楷體-繁" w:cs="Songti TC"/>
          <w:color w:val="000000" w:themeColor="text1"/>
        </w:rPr>
        <w:t>前藥物使用和支出的潛在趨勢仍然是前景的重要驅動因素，</w:t>
      </w:r>
      <w:r w:rsidR="00D43C58" w:rsidRPr="0058574C">
        <w:rPr>
          <w:rFonts w:ascii="楷體-繁" w:eastAsia="楷體-繁" w:hAnsi="楷體-繁"/>
          <w:color w:val="000000" w:themeColor="text1"/>
        </w:rPr>
        <w:t>包括新藥上市創紀錄水</w:t>
      </w:r>
      <w:r w:rsidR="00D43C58" w:rsidRPr="0058574C">
        <w:rPr>
          <w:rFonts w:ascii="楷體-繁" w:eastAsia="楷體-繁" w:hAnsi="楷體-繁" w:hint="eastAsia"/>
          <w:color w:val="000000" w:themeColor="text1"/>
        </w:rPr>
        <w:t>準</w:t>
      </w:r>
      <w:r w:rsidR="00D43C58" w:rsidRPr="0058574C">
        <w:rPr>
          <w:rFonts w:ascii="楷體-繁" w:eastAsia="楷體-繁" w:hAnsi="楷體-繁"/>
          <w:color w:val="000000" w:themeColor="text1"/>
        </w:rPr>
        <w:t>以及小分子和生物藥</w:t>
      </w:r>
      <w:r w:rsidR="00804A1A" w:rsidRPr="0058574C">
        <w:rPr>
          <w:rFonts w:ascii="楷體-繁" w:eastAsia="楷體-繁" w:hAnsi="楷體-繁" w:hint="eastAsia"/>
          <w:color w:val="000000" w:themeColor="text1"/>
        </w:rPr>
        <w:t>品</w:t>
      </w:r>
      <w:r w:rsidR="00D43C58" w:rsidRPr="0058574C">
        <w:rPr>
          <w:rFonts w:ascii="楷體-繁" w:eastAsia="楷體-繁" w:hAnsi="楷體-繁"/>
          <w:color w:val="000000" w:themeColor="text1"/>
        </w:rPr>
        <w:t>專利到期的影響，</w:t>
      </w:r>
      <w:r w:rsidR="00A91195" w:rsidRPr="0058574C">
        <w:rPr>
          <w:rFonts w:ascii="楷體-繁" w:eastAsia="楷體-繁" w:hAnsi="楷體-繁"/>
          <w:color w:val="000000" w:themeColor="text1"/>
        </w:rPr>
        <w:lastRenderedPageBreak/>
        <w:t>世界各國開展全球疫苗接種計畫的能力</w:t>
      </w:r>
      <w:r w:rsidR="00A91195" w:rsidRPr="0058574C">
        <w:rPr>
          <w:rFonts w:ascii="楷體-繁" w:eastAsia="楷體-繁" w:hAnsi="楷體-繁" w:hint="eastAsia"/>
          <w:color w:val="000000" w:themeColor="text1"/>
        </w:rPr>
        <w:t xml:space="preserve"> </w:t>
      </w:r>
      <w:r w:rsidR="00A91195" w:rsidRPr="0058574C">
        <w:rPr>
          <w:rFonts w:ascii="楷體-繁" w:eastAsia="楷體-繁" w:hAnsi="楷體-繁" w:cs="Times"/>
          <w:color w:val="000000" w:themeColor="text1"/>
        </w:rPr>
        <w:t>—</w:t>
      </w:r>
      <w:r w:rsidR="00A91195" w:rsidRPr="0058574C">
        <w:rPr>
          <w:rFonts w:ascii="楷體-繁" w:eastAsia="楷體-繁" w:hAnsi="楷體-繁"/>
          <w:color w:val="000000" w:themeColor="text1"/>
        </w:rPr>
        <w:t xml:space="preserve"> 克服</w:t>
      </w:r>
      <w:r w:rsidR="00A91195" w:rsidRPr="0058574C">
        <w:rPr>
          <w:rFonts w:ascii="楷體-繁" w:eastAsia="楷體-繁" w:hAnsi="楷體-繁" w:hint="eastAsia"/>
          <w:color w:val="000000" w:themeColor="text1"/>
        </w:rPr>
        <w:t>病</w:t>
      </w:r>
      <w:r w:rsidR="00A91195" w:rsidRPr="0058574C">
        <w:rPr>
          <w:rFonts w:ascii="楷體-繁" w:eastAsia="楷體-繁" w:hAnsi="楷體-繁"/>
          <w:color w:val="000000" w:themeColor="text1"/>
        </w:rPr>
        <w:t>患的猶豫和持續的</w:t>
      </w:r>
      <w:r w:rsidR="00A91195" w:rsidRPr="0058574C">
        <w:rPr>
          <w:rFonts w:ascii="楷體-繁" w:eastAsia="楷體-繁" w:hAnsi="楷體-繁" w:hint="eastAsia"/>
          <w:color w:val="000000" w:themeColor="text1"/>
        </w:rPr>
        <w:t>物流</w:t>
      </w:r>
      <w:r w:rsidR="00A91195" w:rsidRPr="0058574C">
        <w:rPr>
          <w:rFonts w:ascii="楷體-繁" w:eastAsia="楷體-繁" w:hAnsi="楷體-繁"/>
          <w:color w:val="000000" w:themeColor="text1"/>
        </w:rPr>
        <w:t>挑戰</w:t>
      </w:r>
      <w:r w:rsidR="00A91195" w:rsidRPr="0058574C">
        <w:rPr>
          <w:rFonts w:ascii="楷體-繁" w:eastAsia="楷體-繁" w:hAnsi="楷體-繁" w:hint="eastAsia"/>
          <w:color w:val="000000" w:themeColor="text1"/>
        </w:rPr>
        <w:t xml:space="preserve"> </w:t>
      </w:r>
      <w:r w:rsidR="00A91195" w:rsidRPr="0058574C">
        <w:rPr>
          <w:rFonts w:ascii="楷體-繁" w:eastAsia="楷體-繁" w:hAnsi="楷體-繁" w:cs="Times"/>
          <w:color w:val="000000" w:themeColor="text1"/>
        </w:rPr>
        <w:t>—</w:t>
      </w:r>
      <w:r w:rsidR="00A91195" w:rsidRPr="0058574C">
        <w:rPr>
          <w:rFonts w:ascii="楷體-繁" w:eastAsia="楷體-繁" w:hAnsi="楷體-繁"/>
          <w:color w:val="000000" w:themeColor="text1"/>
        </w:rPr>
        <w:t xml:space="preserve"> 將是向地方性病毒過渡的關鍵，並對到2026年及以後的所有藥物使用前景產生廣泛影響。</w:t>
      </w:r>
      <w:r w:rsidR="0058574C" w:rsidRPr="0058574C">
        <w:rPr>
          <w:rFonts w:ascii="楷體-繁" w:eastAsia="楷體-繁" w:hAnsi="楷體-繁" w:cs="PingFang TC" w:hint="eastAsia"/>
          <w:color w:val="000000" w:themeColor="text1"/>
        </w:rPr>
        <w:t>」</w:t>
      </w:r>
    </w:p>
    <w:p w14:paraId="20209DFA" w14:textId="77777777" w:rsidR="009241A9" w:rsidRDefault="00271F4C" w:rsidP="006C0E27">
      <w:pPr>
        <w:spacing w:beforeLines="50" w:before="180" w:line="0" w:lineRule="atLeast"/>
        <w:jc w:val="both"/>
        <w:rPr>
          <w:rFonts w:ascii="楷體-繁" w:eastAsia="楷體-繁" w:hAnsi="楷體-繁" w:cs="PingFang TC"/>
          <w:color w:val="000000" w:themeColor="text1"/>
        </w:rPr>
      </w:pPr>
      <w:r w:rsidRPr="00271F4C">
        <w:rPr>
          <w:rFonts w:ascii="楷體-繁" w:eastAsia="楷體-繁" w:hAnsi="楷體-繁"/>
          <w:color w:val="000000" w:themeColor="text1"/>
        </w:rPr>
        <w:t>該報告的幾個重點包括：</w:t>
      </w:r>
    </w:p>
    <w:p w14:paraId="396D032F" w14:textId="261FFAF1" w:rsidR="009241A9" w:rsidRPr="009241A9" w:rsidRDefault="00271F4C" w:rsidP="006C0E27">
      <w:pPr>
        <w:pStyle w:val="a7"/>
        <w:numPr>
          <w:ilvl w:val="0"/>
          <w:numId w:val="43"/>
        </w:numPr>
        <w:spacing w:before="180" w:line="0" w:lineRule="atLeast"/>
        <w:ind w:leftChars="0" w:left="482" w:hanging="482"/>
        <w:jc w:val="both"/>
        <w:rPr>
          <w:rFonts w:ascii="楷體-繁" w:eastAsia="楷體-繁" w:hAnsi="楷體-繁" w:cs="PingFang TC"/>
        </w:rPr>
      </w:pPr>
      <w:r w:rsidRPr="009241A9">
        <w:rPr>
          <w:rFonts w:ascii="楷體-繁" w:eastAsia="楷體-繁" w:hAnsi="楷體-繁"/>
          <w:b/>
          <w:bCs/>
        </w:rPr>
        <w:t>COVID-19疫苗和治療方法帶來的全球市場大幅增長</w:t>
      </w:r>
      <w:r w:rsidRPr="009241A9">
        <w:rPr>
          <w:rFonts w:ascii="楷體-繁" w:eastAsia="楷體-繁" w:hAnsi="楷體-繁" w:cs="Songti TC" w:hint="eastAsia"/>
          <w:b/>
          <w:bCs/>
        </w:rPr>
        <w:t>：</w:t>
      </w:r>
      <w:r w:rsidR="008111D4" w:rsidRPr="009241A9">
        <w:rPr>
          <w:rFonts w:ascii="楷體-繁" w:eastAsia="楷體-繁" w:hAnsi="楷體-繁"/>
        </w:rPr>
        <w:t>從首次推出疫苗到2026年的</w:t>
      </w:r>
      <w:r w:rsidR="008111D4" w:rsidRPr="009241A9">
        <w:rPr>
          <w:rFonts w:ascii="楷體-繁" w:eastAsia="楷體-繁" w:hAnsi="楷體-繁" w:hint="eastAsia"/>
        </w:rPr>
        <w:t>6</w:t>
      </w:r>
      <w:r w:rsidR="008111D4" w:rsidRPr="009241A9">
        <w:rPr>
          <w:rFonts w:ascii="楷體-繁" w:eastAsia="楷體-繁" w:hAnsi="楷體-繁"/>
        </w:rPr>
        <w:t>年內，全球疫苗支出預計將達到2510億美元。</w:t>
      </w:r>
      <w:r w:rsidR="00812615" w:rsidRPr="009241A9">
        <w:rPr>
          <w:rFonts w:ascii="楷體-繁" w:eastAsia="楷體-繁" w:hAnsi="楷體-繁"/>
        </w:rPr>
        <w:t>在同一期</w:t>
      </w:r>
      <w:r w:rsidR="00812615" w:rsidRPr="009241A9">
        <w:rPr>
          <w:rFonts w:ascii="楷體-繁" w:eastAsia="楷體-繁" w:hAnsi="楷體-繁" w:hint="eastAsia"/>
        </w:rPr>
        <w:t>間</w:t>
      </w:r>
      <w:r w:rsidR="00812615" w:rsidRPr="009241A9">
        <w:rPr>
          <w:rFonts w:ascii="楷體-繁" w:eastAsia="楷體-繁" w:hAnsi="楷體-繁"/>
        </w:rPr>
        <w:t>，該病毒的新療法總額將達到580億美元，用於COVID-19疫苗和治療支出的總額將達到3090億美元。疫情將使同期的非COVID支出減少1750億美元，全球支出的淨增長預計將達到1330億美元。</w:t>
      </w:r>
    </w:p>
    <w:p w14:paraId="33EAB35D" w14:textId="7A3A81BF" w:rsidR="009241A9" w:rsidRPr="009241A9" w:rsidRDefault="009241A9" w:rsidP="009241A9">
      <w:pPr>
        <w:spacing w:before="120" w:line="0" w:lineRule="atLeast"/>
        <w:ind w:firstLineChars="100" w:firstLine="240"/>
        <w:jc w:val="both"/>
        <w:rPr>
          <w:rFonts w:ascii="楷體-繁" w:eastAsia="楷體-繁" w:hAnsi="楷體-繁" w:cs="PingFang TC"/>
        </w:rPr>
      </w:pPr>
      <w:r w:rsidRPr="00F54C91">
        <w:rPr>
          <w:rFonts w:ascii="楷體-繁" w:eastAsia="楷體-繁" w:hAnsi="楷體-繁"/>
          <w:noProof/>
        </w:rPr>
        <w:drawing>
          <wp:inline distT="0" distB="0" distL="0" distR="0" wp14:anchorId="3190758C" wp14:editId="0DFA4AC3">
            <wp:extent cx="5998634" cy="3563743"/>
            <wp:effectExtent l="12700" t="12700" r="8890" b="177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3060" cy="356637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028416" w14:textId="77777777" w:rsidR="009241A9" w:rsidRPr="009241A9" w:rsidRDefault="00E76943" w:rsidP="009241A9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9241A9">
        <w:rPr>
          <w:rFonts w:ascii="楷體-繁" w:eastAsia="楷體-繁" w:hAnsi="楷體-繁"/>
          <w:b/>
          <w:bCs/>
        </w:rPr>
        <w:t>新興</w:t>
      </w:r>
      <w:r w:rsidR="0013235E" w:rsidRPr="009241A9">
        <w:rPr>
          <w:rFonts w:ascii="楷體-繁" w:eastAsia="楷體-繁" w:hAnsi="楷體-繁"/>
          <w:b/>
          <w:bCs/>
        </w:rPr>
        <w:t>藥</w:t>
      </w:r>
      <w:r w:rsidR="0013235E" w:rsidRPr="009241A9">
        <w:rPr>
          <w:rFonts w:ascii="楷體-繁" w:eastAsia="楷體-繁" w:hAnsi="楷體-繁" w:hint="eastAsia"/>
          <w:b/>
          <w:bCs/>
        </w:rPr>
        <w:t>品</w:t>
      </w:r>
      <w:r w:rsidRPr="009241A9">
        <w:rPr>
          <w:rFonts w:ascii="楷體-繁" w:eastAsia="楷體-繁" w:hAnsi="楷體-繁"/>
          <w:b/>
          <w:bCs/>
        </w:rPr>
        <w:t>市場：</w:t>
      </w:r>
      <w:r w:rsidRPr="009241A9">
        <w:rPr>
          <w:rFonts w:ascii="楷體-繁" w:eastAsia="楷體-繁" w:hAnsi="楷體-繁"/>
        </w:rPr>
        <w:t>在新興</w:t>
      </w:r>
      <w:r w:rsidR="0013235E" w:rsidRPr="009241A9">
        <w:rPr>
          <w:rFonts w:ascii="楷體-繁" w:eastAsia="楷體-繁" w:hAnsi="楷體-繁"/>
        </w:rPr>
        <w:t>藥</w:t>
      </w:r>
      <w:r w:rsidR="0013235E" w:rsidRPr="009241A9">
        <w:rPr>
          <w:rFonts w:ascii="楷體-繁" w:eastAsia="楷體-繁" w:hAnsi="楷體-繁" w:hint="eastAsia"/>
        </w:rPr>
        <w:t>品</w:t>
      </w:r>
      <w:r w:rsidRPr="009241A9">
        <w:rPr>
          <w:rFonts w:ascii="楷體-繁" w:eastAsia="楷體-繁" w:hAnsi="楷體-繁"/>
        </w:rPr>
        <w:t>市場，絕對增長</w:t>
      </w:r>
      <w:r w:rsidR="00807273" w:rsidRPr="009241A9">
        <w:rPr>
          <w:rFonts w:ascii="楷體-繁" w:eastAsia="楷體-繁" w:hAnsi="楷體-繁"/>
        </w:rPr>
        <w:t>將由中國帶動，預計中國將以2.5</w:t>
      </w:r>
      <w:r w:rsidR="0013235E" w:rsidRPr="009241A9">
        <w:rPr>
          <w:rFonts w:ascii="楷體-繁" w:eastAsia="楷體-繁" w:hAnsi="楷體-繁"/>
        </w:rPr>
        <w:t>~</w:t>
      </w:r>
      <w:r w:rsidR="00807273" w:rsidRPr="009241A9">
        <w:rPr>
          <w:rFonts w:ascii="楷體-繁" w:eastAsia="楷體-繁" w:hAnsi="楷體-繁"/>
        </w:rPr>
        <w:t>5.5%的速度增長，到2026年，在新的</w:t>
      </w:r>
      <w:r w:rsidR="00807273" w:rsidRPr="009241A9">
        <w:rPr>
          <w:rFonts w:ascii="楷體-繁" w:eastAsia="楷體-繁" w:hAnsi="楷體-繁" w:hint="eastAsia"/>
        </w:rPr>
        <w:t>原廠</w:t>
      </w:r>
      <w:r w:rsidR="00807273" w:rsidRPr="009241A9">
        <w:rPr>
          <w:rFonts w:ascii="楷體-繁" w:eastAsia="楷體-繁" w:hAnsi="楷體-繁"/>
        </w:rPr>
        <w:t>藥</w:t>
      </w:r>
      <w:r w:rsidR="0013235E" w:rsidRPr="009241A9">
        <w:rPr>
          <w:rFonts w:ascii="楷體-繁" w:eastAsia="楷體-繁" w:hAnsi="楷體-繁" w:hint="eastAsia"/>
        </w:rPr>
        <w:t>採用</w:t>
      </w:r>
      <w:r w:rsidR="00807273" w:rsidRPr="009241A9">
        <w:rPr>
          <w:rFonts w:ascii="楷體-繁" w:eastAsia="楷體-繁" w:hAnsi="楷體-繁"/>
        </w:rPr>
        <w:t>和使用增加的推動下，每年的支出將超過300億美元。</w:t>
      </w:r>
    </w:p>
    <w:p w14:paraId="05996216" w14:textId="27ACD7E5" w:rsidR="009241A9" w:rsidRDefault="000D706D" w:rsidP="009241A9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9241A9">
        <w:rPr>
          <w:rFonts w:ascii="楷體-繁" w:eastAsia="楷體-繁" w:hAnsi="楷體-繁"/>
          <w:b/>
          <w:bCs/>
        </w:rPr>
        <w:t>美國市場：</w:t>
      </w:r>
      <w:r w:rsidRPr="009241A9">
        <w:rPr>
          <w:rFonts w:ascii="楷體-繁" w:eastAsia="楷體-繁" w:hAnsi="楷體-繁"/>
        </w:rPr>
        <w:t>按淨價計算，預計未來</w:t>
      </w:r>
      <w:r w:rsidR="001D31BB" w:rsidRPr="009241A9">
        <w:rPr>
          <w:rFonts w:ascii="楷體-繁" w:eastAsia="楷體-繁" w:hAnsi="楷體-繁" w:hint="eastAsia"/>
        </w:rPr>
        <w:t>5</w:t>
      </w:r>
      <w:r w:rsidRPr="009241A9">
        <w:rPr>
          <w:rFonts w:ascii="楷體-繁" w:eastAsia="楷體-繁" w:hAnsi="楷體-繁"/>
        </w:rPr>
        <w:t>年美國市場</w:t>
      </w:r>
      <w:r w:rsidR="009241A9" w:rsidRPr="009241A9">
        <w:rPr>
          <w:rFonts w:ascii="楷體-繁" w:eastAsia="楷體-繁" w:hAnsi="楷體-繁"/>
        </w:rPr>
        <w:t>的</w:t>
      </w:r>
      <w:r w:rsidR="009241A9" w:rsidRPr="009241A9">
        <w:rPr>
          <w:rFonts w:ascii="楷體-繁" w:eastAsia="楷體-繁" w:hAnsi="楷體-繁" w:hint="eastAsia"/>
        </w:rPr>
        <w:t>C</w:t>
      </w:r>
      <w:r w:rsidR="009241A9" w:rsidRPr="009241A9">
        <w:rPr>
          <w:rFonts w:ascii="楷體-繁" w:eastAsia="楷體-繁" w:hAnsi="楷體-繁"/>
        </w:rPr>
        <w:t>AGR</w:t>
      </w:r>
      <w:r w:rsidR="009241A9">
        <w:rPr>
          <w:rFonts w:ascii="楷體-繁" w:eastAsia="楷體-繁" w:hAnsi="楷體-繁" w:hint="eastAsia"/>
        </w:rPr>
        <w:t>為</w:t>
      </w:r>
      <w:r w:rsidRPr="009241A9">
        <w:rPr>
          <w:rFonts w:ascii="楷體-繁" w:eastAsia="楷體-繁" w:hAnsi="楷體-繁"/>
        </w:rPr>
        <w:t>0</w:t>
      </w:r>
      <w:r w:rsidRPr="009241A9">
        <w:rPr>
          <w:rFonts w:ascii="楷體-繁" w:eastAsia="楷體-繁" w:hAnsi="楷體-繁" w:hint="eastAsia"/>
        </w:rPr>
        <w:t>～</w:t>
      </w:r>
      <w:r w:rsidRPr="009241A9">
        <w:rPr>
          <w:rFonts w:ascii="楷體-繁" w:eastAsia="楷體-繁" w:hAnsi="楷體-繁"/>
        </w:rPr>
        <w:t>3%</w:t>
      </w:r>
      <w:r w:rsidRPr="009241A9">
        <w:rPr>
          <w:rFonts w:ascii="楷體-繁" w:eastAsia="楷體-繁" w:hAnsi="楷體-繁" w:cs="PingFang TC" w:hint="eastAsia"/>
        </w:rPr>
        <w:t>，</w:t>
      </w:r>
      <w:r w:rsidRPr="009241A9">
        <w:rPr>
          <w:rFonts w:ascii="楷體-繁" w:eastAsia="楷體-繁" w:hAnsi="楷體-繁"/>
        </w:rPr>
        <w:t>低於過去</w:t>
      </w:r>
      <w:r w:rsidR="005B2E0A" w:rsidRPr="009241A9">
        <w:rPr>
          <w:rFonts w:ascii="楷體-繁" w:eastAsia="楷體-繁" w:hAnsi="楷體-繁" w:hint="eastAsia"/>
        </w:rPr>
        <w:t>5</w:t>
      </w:r>
      <w:r w:rsidRPr="009241A9">
        <w:rPr>
          <w:rFonts w:ascii="楷體-繁" w:eastAsia="楷體-繁" w:hAnsi="楷體-繁"/>
        </w:rPr>
        <w:t>年3.5%的</w:t>
      </w:r>
      <w:r w:rsidR="009241A9" w:rsidRPr="009241A9">
        <w:rPr>
          <w:rFonts w:ascii="楷體-繁" w:eastAsia="楷體-繁" w:hAnsi="楷體-繁" w:hint="eastAsia"/>
        </w:rPr>
        <w:t>C</w:t>
      </w:r>
      <w:r w:rsidR="009241A9" w:rsidRPr="009241A9">
        <w:rPr>
          <w:rFonts w:ascii="楷體-繁" w:eastAsia="楷體-繁" w:hAnsi="楷體-繁"/>
        </w:rPr>
        <w:t>AGR</w:t>
      </w:r>
      <w:r w:rsidRPr="009241A9">
        <w:rPr>
          <w:rFonts w:ascii="楷體-繁" w:eastAsia="楷體-繁" w:hAnsi="楷體-繁"/>
        </w:rPr>
        <w:t>。</w:t>
      </w:r>
      <w:r w:rsidR="005D1DA1" w:rsidRPr="009241A9">
        <w:rPr>
          <w:rFonts w:ascii="楷體-繁" w:eastAsia="楷體-繁" w:hAnsi="楷體-繁"/>
        </w:rPr>
        <w:t>歷史上數量</w:t>
      </w:r>
      <w:r w:rsidR="005B2E0A" w:rsidRPr="009241A9">
        <w:rPr>
          <w:rFonts w:ascii="楷體-繁" w:eastAsia="楷體-繁" w:hAnsi="楷體-繁" w:hint="eastAsia"/>
        </w:rPr>
        <w:t>最多</w:t>
      </w:r>
      <w:r w:rsidR="005D1DA1" w:rsidRPr="009241A9">
        <w:rPr>
          <w:rFonts w:ascii="楷體-繁" w:eastAsia="楷體-繁" w:hAnsi="楷體-繁"/>
        </w:rPr>
        <w:t>的新產品將在</w:t>
      </w:r>
      <w:r w:rsidR="005B2E0A" w:rsidRPr="009241A9">
        <w:rPr>
          <w:rFonts w:ascii="楷體-繁" w:eastAsia="楷體-繁" w:hAnsi="楷體-繁" w:hint="eastAsia"/>
        </w:rPr>
        <w:t>5</w:t>
      </w:r>
      <w:r w:rsidR="005D1DA1" w:rsidRPr="009241A9">
        <w:rPr>
          <w:rFonts w:ascii="楷體-繁" w:eastAsia="楷體-繁" w:hAnsi="楷體-繁"/>
        </w:rPr>
        <w:t>年內貢獻1140億美元的支出，高於過去</w:t>
      </w:r>
      <w:r w:rsidR="005B2E0A" w:rsidRPr="009241A9">
        <w:rPr>
          <w:rFonts w:ascii="楷體-繁" w:eastAsia="楷體-繁" w:hAnsi="楷體-繁" w:hint="eastAsia"/>
        </w:rPr>
        <w:t>5</w:t>
      </w:r>
      <w:r w:rsidR="005D1DA1" w:rsidRPr="009241A9">
        <w:rPr>
          <w:rFonts w:ascii="楷體-繁" w:eastAsia="楷體-繁" w:hAnsi="楷體-繁"/>
        </w:rPr>
        <w:t>年的930億美元，但市</w:t>
      </w:r>
      <w:r w:rsidR="005B2E0A" w:rsidRPr="009241A9">
        <w:rPr>
          <w:rFonts w:ascii="楷體-繁" w:eastAsia="楷體-繁" w:hAnsi="楷體-繁" w:hint="eastAsia"/>
        </w:rPr>
        <w:t>占率低</w:t>
      </w:r>
      <w:r w:rsidR="005D1DA1" w:rsidRPr="009241A9">
        <w:rPr>
          <w:rFonts w:ascii="楷體-繁" w:eastAsia="楷體-繁" w:hAnsi="楷體-繁"/>
        </w:rPr>
        <w:t>。</w:t>
      </w:r>
      <w:r w:rsidR="005B2E0A" w:rsidRPr="009241A9">
        <w:rPr>
          <w:rFonts w:ascii="楷體-繁" w:eastAsia="楷體-繁" w:hAnsi="楷體-繁"/>
        </w:rPr>
        <w:t>增長</w:t>
      </w:r>
      <w:r w:rsidR="005B2E0A" w:rsidRPr="009241A9">
        <w:rPr>
          <w:rFonts w:ascii="楷體-繁" w:eastAsia="楷體-繁" w:hAnsi="楷體-繁" w:hint="eastAsia"/>
        </w:rPr>
        <w:t>速度</w:t>
      </w:r>
      <w:r w:rsidR="005B2E0A" w:rsidRPr="009241A9">
        <w:rPr>
          <w:rFonts w:ascii="楷體-繁" w:eastAsia="楷體-繁" w:hAnsi="楷體-繁"/>
        </w:rPr>
        <w:t>放緩的最大</w:t>
      </w:r>
      <w:r w:rsidR="001D31BB" w:rsidRPr="009241A9">
        <w:rPr>
          <w:rFonts w:ascii="楷體-繁" w:eastAsia="楷體-繁" w:hAnsi="楷體-繁" w:hint="eastAsia"/>
        </w:rPr>
        <w:t>驅</w:t>
      </w:r>
      <w:r w:rsidR="004B4D29" w:rsidRPr="009241A9">
        <w:rPr>
          <w:rFonts w:ascii="楷體-繁" w:eastAsia="楷體-繁" w:hAnsi="楷體-繁" w:hint="eastAsia"/>
        </w:rPr>
        <w:t>動</w:t>
      </w:r>
      <w:r w:rsidR="005B2E0A" w:rsidRPr="009241A9">
        <w:rPr>
          <w:rFonts w:ascii="楷體-繁" w:eastAsia="楷體-繁" w:hAnsi="楷體-繁"/>
        </w:rPr>
        <w:t>力是</w:t>
      </w:r>
      <w:r w:rsidR="004B4D29" w:rsidRPr="009241A9">
        <w:rPr>
          <w:rFonts w:ascii="楷體-繁" w:eastAsia="楷體-繁" w:hAnsi="楷體-繁" w:hint="eastAsia"/>
        </w:rPr>
        <w:t>品牌藥價格增長減緩</w:t>
      </w:r>
      <w:r w:rsidR="004B4D29" w:rsidRPr="009241A9">
        <w:rPr>
          <w:rFonts w:ascii="楷體-繁" w:eastAsia="楷體-繁" w:hAnsi="楷體-繁" w:cs="PingFang TC"/>
        </w:rPr>
        <w:t>，</w:t>
      </w:r>
      <w:r w:rsidR="004B4D29" w:rsidRPr="009241A9">
        <w:rPr>
          <w:rFonts w:ascii="楷體-繁" w:eastAsia="楷體-繁" w:hAnsi="楷體-繁" w:cs="PingFang TC" w:hint="eastAsia"/>
        </w:rPr>
        <w:t>以及品牌藥</w:t>
      </w:r>
      <w:r w:rsidR="001D31BB" w:rsidRPr="009241A9">
        <w:rPr>
          <w:rFonts w:ascii="楷體-繁" w:eastAsia="楷體-繁" w:hAnsi="楷體-繁" w:cs="PingFang TC" w:hint="eastAsia"/>
        </w:rPr>
        <w:t>專有權喪失的衝擊增加，包括生物相似藥。</w:t>
      </w:r>
      <w:r w:rsidR="001D31BB" w:rsidRPr="009241A9">
        <w:rPr>
          <w:rFonts w:ascii="楷體-繁" w:eastAsia="楷體-繁" w:hAnsi="楷體-繁" w:cs="PingFang TC"/>
        </w:rPr>
        <w:t>5</w:t>
      </w:r>
      <w:r w:rsidR="001D31BB" w:rsidRPr="009241A9">
        <w:rPr>
          <w:rFonts w:ascii="楷體-繁" w:eastAsia="楷體-繁" w:hAnsi="楷體-繁" w:cs="PingFang TC" w:hint="eastAsia"/>
        </w:rPr>
        <w:t>年內</w:t>
      </w:r>
      <w:r w:rsidR="001D31BB" w:rsidRPr="009241A9">
        <w:rPr>
          <w:rFonts w:ascii="楷體-繁" w:eastAsia="楷體-繁" w:hAnsi="楷體-繁" w:cs="PingFang TC"/>
        </w:rPr>
        <w:t>，</w:t>
      </w:r>
      <w:r w:rsidR="001D31BB" w:rsidRPr="009241A9">
        <w:rPr>
          <w:rFonts w:ascii="楷體-繁" w:eastAsia="楷體-繁" w:hAnsi="楷體-繁" w:cs="PingFang TC" w:hint="eastAsia"/>
        </w:rPr>
        <w:t>生物相似藥的銷售額從前</w:t>
      </w:r>
      <w:r w:rsidR="001D31BB" w:rsidRPr="009241A9">
        <w:rPr>
          <w:rFonts w:ascii="楷體-繁" w:eastAsia="楷體-繁" w:hAnsi="楷體-繁" w:cs="PingFang TC"/>
        </w:rPr>
        <w:t>5</w:t>
      </w:r>
      <w:r w:rsidR="001D31BB" w:rsidRPr="009241A9">
        <w:rPr>
          <w:rFonts w:ascii="楷體-繁" w:eastAsia="楷體-繁" w:hAnsi="楷體-繁" w:cs="PingFang TC" w:hint="eastAsia"/>
        </w:rPr>
        <w:t>年的</w:t>
      </w:r>
      <w:r w:rsidR="001D31BB" w:rsidRPr="009241A9">
        <w:rPr>
          <w:rFonts w:ascii="楷體-繁" w:eastAsia="楷體-繁" w:hAnsi="楷體-繁" w:cs="PingFang TC"/>
        </w:rPr>
        <w:t>570</w:t>
      </w:r>
      <w:r w:rsidR="001D31BB" w:rsidRPr="009241A9">
        <w:rPr>
          <w:rFonts w:ascii="楷體-繁" w:eastAsia="楷體-繁" w:hAnsi="楷體-繁" w:cs="PingFang TC" w:hint="eastAsia"/>
        </w:rPr>
        <w:t>億美元增加一倍多，</w:t>
      </w:r>
      <w:r w:rsidR="001D31BB" w:rsidRPr="009241A9">
        <w:rPr>
          <w:rFonts w:ascii="楷體-繁" w:eastAsia="楷體-繁" w:hAnsi="楷體-繁"/>
        </w:rPr>
        <w:t>達到1410億美元</w:t>
      </w:r>
      <w:r w:rsidR="001D31BB" w:rsidRPr="009241A9">
        <w:rPr>
          <w:rFonts w:ascii="楷體-繁" w:eastAsia="楷體-繁" w:hAnsi="楷體-繁" w:cs="PingFang TC" w:hint="eastAsia"/>
        </w:rPr>
        <w:t>。</w:t>
      </w:r>
    </w:p>
    <w:p w14:paraId="090A384F" w14:textId="20E4C600" w:rsidR="009241A9" w:rsidRPr="00EA0DFC" w:rsidRDefault="00B80617" w:rsidP="009241A9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6C0E27">
        <w:rPr>
          <w:rFonts w:ascii="楷體-繁" w:eastAsia="楷體-繁" w:hAnsi="楷體-繁" w:cs="Songti TC"/>
          <w:b/>
          <w:bCs/>
        </w:rPr>
        <w:t>日本：</w:t>
      </w:r>
      <w:r w:rsidRPr="009241A9">
        <w:rPr>
          <w:rFonts w:ascii="楷體-繁" w:eastAsia="楷體-繁" w:hAnsi="楷體-繁" w:cs="Songti TC"/>
          <w:color w:val="000000"/>
        </w:rPr>
        <w:t>全球第三大市場的藥品支出將</w:t>
      </w:r>
      <w:r w:rsidRPr="009241A9">
        <w:rPr>
          <w:rFonts w:ascii="楷體-繁" w:eastAsia="楷體-繁" w:hAnsi="楷體-繁" w:cs="Songti TC" w:hint="eastAsia"/>
          <w:color w:val="000000"/>
        </w:rPr>
        <w:t>從</w:t>
      </w:r>
      <w:r w:rsidRPr="009241A9">
        <w:rPr>
          <w:rFonts w:ascii="楷體-繁" w:eastAsia="楷體-繁" w:hAnsi="楷體-繁" w:cs="Songti TC"/>
          <w:color w:val="000000"/>
        </w:rPr>
        <w:t>持平</w:t>
      </w:r>
      <w:r w:rsidRPr="009241A9">
        <w:rPr>
          <w:rFonts w:ascii="楷體-繁" w:eastAsia="楷體-繁" w:hAnsi="楷體-繁" w:cs="Songti TC" w:hint="eastAsia"/>
          <w:color w:val="000000"/>
        </w:rPr>
        <w:t>轉向</w:t>
      </w:r>
      <w:r w:rsidRPr="009241A9">
        <w:rPr>
          <w:rFonts w:ascii="楷體-繁" w:eastAsia="楷體-繁" w:hAnsi="楷體-繁" w:cs="Songti TC"/>
          <w:color w:val="000000"/>
        </w:rPr>
        <w:t>下降，包括可能從</w:t>
      </w:r>
      <w:r w:rsidR="00AF0C95">
        <w:rPr>
          <w:rFonts w:ascii="楷體-繁" w:eastAsia="楷體-繁" w:hAnsi="楷體-繁" w:cs="Songti TC" w:hint="eastAsia"/>
          <w:color w:val="000000"/>
        </w:rPr>
        <w:t>2</w:t>
      </w:r>
      <w:r w:rsidRPr="009241A9">
        <w:rPr>
          <w:rFonts w:ascii="楷體-繁" w:eastAsia="楷體-繁" w:hAnsi="楷體-繁" w:cs="Songti TC"/>
          <w:color w:val="000000"/>
        </w:rPr>
        <w:t>年一次的價格調整</w:t>
      </w:r>
      <w:r w:rsidRPr="00EA0DFC">
        <w:rPr>
          <w:rFonts w:ascii="楷體-繁" w:eastAsia="楷體-繁" w:hAnsi="楷體-繁" w:cs="Songti TC"/>
        </w:rPr>
        <w:lastRenderedPageBreak/>
        <w:t>轉</w:t>
      </w:r>
      <w:r w:rsidRPr="00EA0DFC">
        <w:rPr>
          <w:rFonts w:ascii="楷體-繁" w:eastAsia="楷體-繁" w:hAnsi="楷體-繁" w:cs="Songti TC" w:hint="eastAsia"/>
        </w:rPr>
        <w:t>變為</w:t>
      </w:r>
      <w:r w:rsidRPr="00EA0DFC">
        <w:rPr>
          <w:rFonts w:ascii="楷體-繁" w:eastAsia="楷體-繁" w:hAnsi="楷體-繁" w:cs="Songti TC"/>
        </w:rPr>
        <w:t>每年一次的價格調整</w:t>
      </w:r>
      <w:r w:rsidRPr="00EA0DFC">
        <w:rPr>
          <w:rFonts w:ascii="楷體-繁" w:eastAsia="楷體-繁" w:hAnsi="楷體-繁" w:cs="PingFang TC" w:hint="eastAsia"/>
        </w:rPr>
        <w:t>，這始於</w:t>
      </w:r>
      <w:r w:rsidRPr="00EA0DFC">
        <w:rPr>
          <w:rFonts w:ascii="楷體-繁" w:eastAsia="楷體-繁" w:hAnsi="楷體-繁" w:cs="Songti TC"/>
        </w:rPr>
        <w:t>2021年的非週期降價。</w:t>
      </w:r>
      <w:r w:rsidR="00B2017B" w:rsidRPr="00EA0DFC">
        <w:rPr>
          <w:rFonts w:ascii="楷體-繁" w:eastAsia="楷體-繁" w:hAnsi="楷體-繁" w:cs="Songti TC" w:hint="eastAsia"/>
        </w:rPr>
        <w:t>這是</w:t>
      </w:r>
      <w:r w:rsidR="00E40796" w:rsidRPr="00EA0DFC">
        <w:rPr>
          <w:rFonts w:ascii="楷體-繁" w:eastAsia="楷體-繁" w:hAnsi="楷體-繁" w:cs="Songti TC"/>
        </w:rPr>
        <w:t>10</w:t>
      </w:r>
      <w:r w:rsidR="00E40796" w:rsidRPr="00EA0DFC">
        <w:rPr>
          <w:rFonts w:ascii="楷體-繁" w:eastAsia="楷體-繁" w:hAnsi="楷體-繁" w:cs="Songti TC" w:hint="eastAsia"/>
        </w:rPr>
        <w:t>大先進國</w:t>
      </w:r>
      <w:r w:rsidR="00EA0DFC" w:rsidRPr="00EA0DFC">
        <w:rPr>
          <w:rFonts w:ascii="楷體-繁" w:eastAsia="楷體-繁" w:hAnsi="楷體-繁" w:cs="Songti TC" w:hint="eastAsia"/>
        </w:rPr>
        <w:t>加上中國</w:t>
      </w:r>
      <w:r w:rsidR="00EA0DFC" w:rsidRPr="00EA0DFC">
        <w:rPr>
          <w:rFonts w:ascii="楷體-繁" w:eastAsia="楷體-繁" w:hAnsi="楷體-繁" w:cs="PingFang TC" w:hint="eastAsia"/>
        </w:rPr>
        <w:t>、</w:t>
      </w:r>
      <w:r w:rsidR="00EA0DFC" w:rsidRPr="00EA0DFC">
        <w:rPr>
          <w:rFonts w:ascii="楷體-繁" w:eastAsia="楷體-繁" w:hAnsi="楷體-繁" w:cs="Songti TC" w:hint="eastAsia"/>
        </w:rPr>
        <w:t>巴西</w:t>
      </w:r>
      <w:r w:rsidR="00EA0DFC" w:rsidRPr="00EA0DFC">
        <w:rPr>
          <w:rFonts w:ascii="楷體-繁" w:eastAsia="楷體-繁" w:hAnsi="楷體-繁" w:cs="PingFang TC" w:hint="eastAsia"/>
        </w:rPr>
        <w:t>、</w:t>
      </w:r>
      <w:r w:rsidR="00EA0DFC" w:rsidRPr="00EA0DFC">
        <w:rPr>
          <w:rFonts w:ascii="楷體-繁" w:eastAsia="楷體-繁" w:hAnsi="楷體-繁" w:cs="Songti TC" w:hint="eastAsia"/>
        </w:rPr>
        <w:t>印度和俄羅斯</w:t>
      </w:r>
      <w:r w:rsidR="00EA0DFC" w:rsidRPr="00EA0DFC">
        <w:rPr>
          <w:rFonts w:ascii="楷體-繁" w:eastAsia="楷體-繁" w:hAnsi="楷體-繁" w:cs="PingFang TC" w:hint="eastAsia"/>
        </w:rPr>
        <w:t>，</w:t>
      </w:r>
      <w:r w:rsidR="00EA0DFC" w:rsidRPr="00EA0DFC">
        <w:rPr>
          <w:rFonts w:ascii="楷體-繁" w:eastAsia="楷體-繁" w:hAnsi="楷體-繁" w:cs="PingFang TC"/>
        </w:rPr>
        <w:t>14</w:t>
      </w:r>
      <w:r w:rsidR="00EA0DFC" w:rsidRPr="00EA0DFC">
        <w:rPr>
          <w:rFonts w:ascii="楷體-繁" w:eastAsia="楷體-繁" w:hAnsi="楷體-繁" w:cs="PingFang TC" w:hint="eastAsia"/>
        </w:rPr>
        <w:t>個國家中</w:t>
      </w:r>
      <w:r w:rsidR="00E40796" w:rsidRPr="00EA0DFC">
        <w:rPr>
          <w:rFonts w:ascii="楷體-繁" w:eastAsia="楷體-繁" w:hAnsi="楷體-繁" w:cs="Songti TC" w:hint="eastAsia"/>
        </w:rPr>
        <w:t>唯一負成長</w:t>
      </w:r>
      <w:r w:rsidR="00E40796" w:rsidRPr="00EA0DFC">
        <w:rPr>
          <w:rFonts w:ascii="楷體-繁" w:eastAsia="楷體-繁" w:hAnsi="楷體-繁"/>
        </w:rPr>
        <w:t>。</w:t>
      </w:r>
      <w:r w:rsidR="00AB1902" w:rsidRPr="00EA0DFC">
        <w:rPr>
          <w:rFonts w:ascii="楷體-繁" w:eastAsia="楷體-繁" w:hAnsi="楷體-繁" w:hint="eastAsia"/>
        </w:rPr>
        <w:t>在</w:t>
      </w:r>
      <w:r w:rsidR="00AB1902" w:rsidRPr="00EA0DFC">
        <w:rPr>
          <w:rFonts w:ascii="楷體-繁" w:eastAsia="楷體-繁" w:hAnsi="楷體-繁"/>
        </w:rPr>
        <w:t>2026</w:t>
      </w:r>
      <w:r w:rsidR="00AB1902" w:rsidRPr="00EA0DFC">
        <w:rPr>
          <w:rFonts w:ascii="楷體-繁" w:eastAsia="楷體-繁" w:hAnsi="楷體-繁" w:hint="eastAsia"/>
        </w:rPr>
        <w:t>年將被德國超越</w:t>
      </w:r>
      <w:r w:rsidR="00AB1902" w:rsidRPr="00EA0DFC">
        <w:rPr>
          <w:rFonts w:ascii="楷體-繁" w:eastAsia="楷體-繁" w:hAnsi="楷體-繁" w:cs="PingFang TC" w:hint="eastAsia"/>
        </w:rPr>
        <w:t>，</w:t>
      </w:r>
      <w:r w:rsidR="00AB1902" w:rsidRPr="00EA0DFC">
        <w:rPr>
          <w:rFonts w:ascii="楷體-繁" w:eastAsia="楷體-繁" w:hAnsi="楷體-繁" w:cs="PingFang TC" w:hint="eastAsia"/>
        </w:rPr>
        <w:t>退居世界第四</w:t>
      </w:r>
      <w:r w:rsidR="00AB1902" w:rsidRPr="00EA0DFC">
        <w:rPr>
          <w:rFonts w:ascii="楷體-繁" w:eastAsia="楷體-繁" w:hAnsi="楷體-繁" w:cs="PingFang TC" w:hint="eastAsia"/>
        </w:rPr>
        <w:t>。</w:t>
      </w:r>
      <w:r w:rsidRPr="00EA0DFC">
        <w:rPr>
          <w:rFonts w:ascii="楷體-繁" w:eastAsia="楷體-繁" w:hAnsi="楷體-繁" w:cs="Songti TC" w:hint="eastAsia"/>
        </w:rPr>
        <w:t>目前獎勵創新</w:t>
      </w:r>
      <w:r w:rsidRPr="00EA0DFC">
        <w:rPr>
          <w:rFonts w:ascii="楷體-繁" w:eastAsia="楷體-繁" w:hAnsi="楷體-繁" w:cs="Songti TC"/>
        </w:rPr>
        <w:t>專利保護品牌的定價政策預計將繼續，</w:t>
      </w:r>
      <w:r w:rsidR="0066785E" w:rsidRPr="00EA0DFC">
        <w:rPr>
          <w:rFonts w:ascii="楷體-繁" w:eastAsia="楷體-繁" w:hAnsi="楷體-繁" w:cs="Songti TC" w:hint="eastAsia"/>
        </w:rPr>
        <w:t>與</w:t>
      </w:r>
      <w:r w:rsidR="00B6562E" w:rsidRPr="00EA0DFC">
        <w:rPr>
          <w:rFonts w:ascii="楷體-繁" w:eastAsia="楷體-繁" w:hAnsi="楷體-繁" w:cs="Songti TC" w:hint="eastAsia"/>
        </w:rPr>
        <w:t xml:space="preserve">長期收載品 </w:t>
      </w:r>
      <w:r w:rsidR="00B6562E" w:rsidRPr="00EA0DFC">
        <w:rPr>
          <w:rFonts w:ascii="楷體-繁" w:eastAsia="楷體-繁" w:hAnsi="楷體-繁" w:cs="Songti TC"/>
        </w:rPr>
        <w:t>(</w:t>
      </w:r>
      <w:r w:rsidR="00B6562E" w:rsidRPr="00EA0DFC">
        <w:rPr>
          <w:rFonts w:ascii="楷體-繁" w:eastAsia="楷體-繁" w:hAnsi="楷體-繁" w:cs="Songti TC" w:hint="eastAsia"/>
        </w:rPr>
        <w:t>市場有學名藥的原廠藥)正在持續轉移為學名藥一致</w:t>
      </w:r>
      <w:r w:rsidR="00B6562E" w:rsidRPr="00EA0DFC">
        <w:rPr>
          <w:rFonts w:ascii="楷體-繁" w:eastAsia="楷體-繁" w:hAnsi="楷體-繁" w:cs="PingFang TC" w:hint="eastAsia"/>
        </w:rPr>
        <w:t>。</w:t>
      </w:r>
      <w:r w:rsidR="00910A88" w:rsidRPr="00EA0DFC">
        <w:rPr>
          <w:rFonts w:ascii="楷體-繁" w:eastAsia="楷體-繁" w:hAnsi="楷體-繁" w:cs="PingFang TC" w:hint="eastAsia"/>
        </w:rPr>
        <w:t>（譯註</w:t>
      </w:r>
      <w:r w:rsidR="00910A88" w:rsidRPr="00EA0DFC">
        <w:rPr>
          <w:rFonts w:ascii="楷體-繁" w:eastAsia="楷體-繁" w:hAnsi="楷體-繁" w:cs="Songti TC" w:hint="eastAsia"/>
        </w:rPr>
        <w:t>：學名藥被</w:t>
      </w:r>
      <w:r w:rsidR="00B3574A" w:rsidRPr="00EA0DFC">
        <w:rPr>
          <w:rFonts w:ascii="楷體-繁" w:eastAsia="楷體-繁" w:hAnsi="楷體-繁" w:cs="Songti TC" w:hint="eastAsia"/>
        </w:rPr>
        <w:t>全民</w:t>
      </w:r>
      <w:r w:rsidR="00910A88" w:rsidRPr="00EA0DFC">
        <w:rPr>
          <w:rFonts w:ascii="楷體-繁" w:eastAsia="楷體-繁" w:hAnsi="楷體-繁" w:cs="Songti TC" w:hint="eastAsia"/>
        </w:rPr>
        <w:t>健康保險收載</w:t>
      </w:r>
      <w:r w:rsidR="00910A88" w:rsidRPr="00EA0DFC">
        <w:rPr>
          <w:rFonts w:ascii="楷體-繁" w:eastAsia="楷體-繁" w:hAnsi="楷體-繁" w:cs="Songti TC"/>
        </w:rPr>
        <w:t>5~</w:t>
      </w:r>
      <w:r w:rsidR="00910A88" w:rsidRPr="00EA0DFC">
        <w:rPr>
          <w:rFonts w:ascii="楷體-繁" w:eastAsia="楷體-繁" w:hAnsi="楷體-繁" w:cs="Songti TC" w:hint="eastAsia"/>
        </w:rPr>
        <w:t>1</w:t>
      </w:r>
      <w:r w:rsidR="00910A88" w:rsidRPr="00EA0DFC">
        <w:rPr>
          <w:rFonts w:ascii="楷體-繁" w:eastAsia="楷體-繁" w:hAnsi="楷體-繁" w:cs="Songti TC"/>
        </w:rPr>
        <w:t>0</w:t>
      </w:r>
      <w:r w:rsidR="00910A88" w:rsidRPr="00EA0DFC">
        <w:rPr>
          <w:rFonts w:ascii="楷體-繁" w:eastAsia="楷體-繁" w:hAnsi="楷體-繁" w:cs="Songti TC" w:hint="eastAsia"/>
        </w:rPr>
        <w:t>年的長期收載品</w:t>
      </w:r>
      <w:r w:rsidR="00707218" w:rsidRPr="00EA0DFC">
        <w:rPr>
          <w:rFonts w:ascii="楷體-繁" w:eastAsia="楷體-繁" w:hAnsi="楷體-繁" w:cs="Songti TC"/>
        </w:rPr>
        <w:t>[</w:t>
      </w:r>
      <w:r w:rsidR="00707218" w:rsidRPr="00EA0DFC">
        <w:rPr>
          <w:rFonts w:ascii="楷體-繁" w:eastAsia="楷體-繁" w:hAnsi="楷體-繁" w:cs="Songti TC" w:hint="eastAsia"/>
        </w:rPr>
        <w:t>排</w:t>
      </w:r>
      <w:r w:rsidR="00B3574A" w:rsidRPr="00EA0DFC">
        <w:rPr>
          <w:rFonts w:ascii="楷體-繁" w:eastAsia="楷體-繁" w:hAnsi="楷體-繁" w:cs="Songti TC" w:hint="eastAsia"/>
        </w:rPr>
        <w:t>除</w:t>
      </w:r>
      <w:r w:rsidR="00707218" w:rsidRPr="00EA0DFC">
        <w:rPr>
          <w:rFonts w:ascii="楷體-繁" w:eastAsia="楷體-繁" w:hAnsi="楷體-繁" w:cs="Songti TC" w:hint="eastAsia"/>
        </w:rPr>
        <w:t>罕病藥品</w:t>
      </w:r>
      <w:r w:rsidR="00707218" w:rsidRPr="00EA0DFC">
        <w:rPr>
          <w:rFonts w:ascii="楷體-繁" w:eastAsia="楷體-繁" w:hAnsi="楷體-繁" w:cs="Songti TC"/>
        </w:rPr>
        <w:t>]</w:t>
      </w:r>
      <w:r w:rsidR="00707218" w:rsidRPr="00EA0DFC">
        <w:rPr>
          <w:rFonts w:ascii="楷體-繁" w:eastAsia="楷體-繁" w:hAnsi="楷體-繁" w:cs="PingFang TC" w:hint="eastAsia"/>
        </w:rPr>
        <w:t>，</w:t>
      </w:r>
      <w:r w:rsidR="00707218" w:rsidRPr="00EA0DFC">
        <w:rPr>
          <w:rFonts w:ascii="楷體-繁" w:eastAsia="楷體-繁" w:hAnsi="楷體-繁" w:cs="Songti TC" w:hint="eastAsia"/>
        </w:rPr>
        <w:t>若學名藥替代率低於</w:t>
      </w:r>
      <w:r w:rsidR="00707218" w:rsidRPr="00EA0DFC">
        <w:rPr>
          <w:rFonts w:ascii="楷體-繁" w:eastAsia="楷體-繁" w:hAnsi="楷體-繁" w:cs="Songti TC"/>
        </w:rPr>
        <w:t>80%</w:t>
      </w:r>
      <w:r w:rsidR="00707218" w:rsidRPr="00EA0DFC">
        <w:rPr>
          <w:rFonts w:ascii="楷體-繁" w:eastAsia="楷體-繁" w:hAnsi="楷體-繁" w:cs="Songti TC" w:hint="eastAsia"/>
        </w:rPr>
        <w:t>者</w:t>
      </w:r>
      <w:r w:rsidR="00707218" w:rsidRPr="00EA0DFC">
        <w:rPr>
          <w:rFonts w:ascii="楷體-繁" w:eastAsia="楷體-繁" w:hAnsi="楷體-繁" w:cs="PingFang TC"/>
        </w:rPr>
        <w:t>，</w:t>
      </w:r>
      <w:r w:rsidR="009811FF" w:rsidRPr="00EA0DFC">
        <w:rPr>
          <w:rFonts w:ascii="楷體-繁" w:eastAsia="楷體-繁" w:hAnsi="楷體-繁" w:cs="PingFang TC" w:hint="eastAsia"/>
        </w:rPr>
        <w:t>按低於</w:t>
      </w:r>
      <w:r w:rsidR="009811FF" w:rsidRPr="00EA0DFC">
        <w:rPr>
          <w:rFonts w:ascii="楷體-繁" w:eastAsia="楷體-繁" w:hAnsi="楷體-繁" w:cs="PingFang TC"/>
        </w:rPr>
        <w:t>40%</w:t>
      </w:r>
      <w:r w:rsidR="009811FF" w:rsidRPr="00EA0DFC">
        <w:rPr>
          <w:rFonts w:ascii="楷體-繁" w:eastAsia="楷體-繁" w:hAnsi="楷體-繁" w:cs="PingFang TC" w:hint="eastAsia"/>
        </w:rPr>
        <w:t>、6</w:t>
      </w:r>
      <w:r w:rsidR="009811FF" w:rsidRPr="00EA0DFC">
        <w:rPr>
          <w:rFonts w:ascii="楷體-繁" w:eastAsia="楷體-繁" w:hAnsi="楷體-繁" w:cs="PingFang TC"/>
        </w:rPr>
        <w:t>0%</w:t>
      </w:r>
      <w:r w:rsidR="009811FF" w:rsidRPr="00EA0DFC">
        <w:rPr>
          <w:rFonts w:ascii="楷體-繁" w:eastAsia="楷體-繁" w:hAnsi="楷體-繁" w:cs="PingFang TC" w:hint="eastAsia"/>
        </w:rPr>
        <w:t>或8</w:t>
      </w:r>
      <w:r w:rsidR="009811FF" w:rsidRPr="00EA0DFC">
        <w:rPr>
          <w:rFonts w:ascii="楷體-繁" w:eastAsia="楷體-繁" w:hAnsi="楷體-繁" w:cs="PingFang TC"/>
        </w:rPr>
        <w:t>0%</w:t>
      </w:r>
      <w:r w:rsidR="009811FF" w:rsidRPr="00EA0DFC">
        <w:rPr>
          <w:rFonts w:ascii="楷體-繁" w:eastAsia="楷體-繁" w:hAnsi="楷體-繁" w:cs="PingFang TC" w:hint="eastAsia"/>
        </w:rPr>
        <w:t>，</w:t>
      </w:r>
      <w:r w:rsidR="00707218" w:rsidRPr="00EA0DFC">
        <w:rPr>
          <w:rFonts w:ascii="楷體-繁" w:eastAsia="楷體-繁" w:hAnsi="楷體-繁" w:cs="PingFang TC" w:hint="eastAsia"/>
        </w:rPr>
        <w:t>依藥價調查結果計算值</w:t>
      </w:r>
      <w:r w:rsidR="009811FF" w:rsidRPr="00EA0DFC">
        <w:rPr>
          <w:rFonts w:ascii="楷體-繁" w:eastAsia="楷體-繁" w:hAnsi="楷體-繁" w:cs="PingFang TC" w:hint="eastAsia"/>
        </w:rPr>
        <w:t>分別</w:t>
      </w:r>
      <w:r w:rsidR="00707218" w:rsidRPr="00EA0DFC">
        <w:rPr>
          <w:rFonts w:ascii="楷體-繁" w:eastAsia="楷體-繁" w:hAnsi="楷體-繁" w:cs="PingFang TC" w:hint="eastAsia"/>
        </w:rPr>
        <w:t>下調</w:t>
      </w:r>
      <w:r w:rsidR="009811FF" w:rsidRPr="00EA0DFC">
        <w:rPr>
          <w:rFonts w:ascii="楷體-繁" w:eastAsia="楷體-繁" w:hAnsi="楷體-繁" w:cs="PingFang TC"/>
        </w:rPr>
        <w:t>2.00%</w:t>
      </w:r>
      <w:r w:rsidR="009811FF" w:rsidRPr="00EA0DFC">
        <w:rPr>
          <w:rFonts w:ascii="楷體-繁" w:eastAsia="楷體-繁" w:hAnsi="楷體-繁" w:cs="PingFang TC" w:hint="eastAsia"/>
        </w:rPr>
        <w:t>、1</w:t>
      </w:r>
      <w:r w:rsidR="009811FF" w:rsidRPr="00EA0DFC">
        <w:rPr>
          <w:rFonts w:ascii="楷體-繁" w:eastAsia="楷體-繁" w:hAnsi="楷體-繁" w:cs="PingFang TC"/>
        </w:rPr>
        <w:t>.75%</w:t>
      </w:r>
      <w:r w:rsidR="009811FF" w:rsidRPr="00EA0DFC">
        <w:rPr>
          <w:rFonts w:ascii="楷體-繁" w:eastAsia="楷體-繁" w:hAnsi="楷體-繁" w:cs="PingFang TC" w:hint="eastAsia"/>
        </w:rPr>
        <w:t>、1</w:t>
      </w:r>
      <w:r w:rsidR="009811FF" w:rsidRPr="00EA0DFC">
        <w:rPr>
          <w:rFonts w:ascii="楷體-繁" w:eastAsia="楷體-繁" w:hAnsi="楷體-繁" w:cs="PingFang TC"/>
        </w:rPr>
        <w:t>.50%</w:t>
      </w:r>
      <w:r w:rsidR="00707218" w:rsidRPr="00EA0DFC">
        <w:rPr>
          <w:rFonts w:ascii="楷體-繁" w:eastAsia="楷體-繁" w:hAnsi="楷體-繁"/>
        </w:rPr>
        <w:t>。</w:t>
      </w:r>
      <w:r w:rsidR="00B3574A" w:rsidRPr="00EA0DFC">
        <w:rPr>
          <w:rFonts w:ascii="楷體-繁" w:eastAsia="楷體-繁" w:hAnsi="楷體-繁" w:cs="Songti TC" w:hint="eastAsia"/>
        </w:rPr>
        <w:t>學名藥上市1</w:t>
      </w:r>
      <w:r w:rsidR="00B3574A" w:rsidRPr="00EA0DFC">
        <w:rPr>
          <w:rFonts w:ascii="楷體-繁" w:eastAsia="楷體-繁" w:hAnsi="楷體-繁" w:cs="Songti TC"/>
        </w:rPr>
        <w:t>0</w:t>
      </w:r>
      <w:r w:rsidR="00B3574A" w:rsidRPr="00EA0DFC">
        <w:rPr>
          <w:rFonts w:ascii="楷體-繁" w:eastAsia="楷體-繁" w:hAnsi="楷體-繁" w:cs="Songti TC" w:hint="eastAsia"/>
        </w:rPr>
        <w:t>年後的長期收載品藥價則以學名藥為基準逐步調降</w:t>
      </w:r>
      <w:r w:rsidR="00B3574A" w:rsidRPr="00EA0DFC">
        <w:rPr>
          <w:rFonts w:ascii="楷體-繁" w:eastAsia="楷體-繁" w:hAnsi="楷體-繁"/>
        </w:rPr>
        <w:t>。）</w:t>
      </w:r>
    </w:p>
    <w:p w14:paraId="52B5F45C" w14:textId="77777777" w:rsidR="001F3B5A" w:rsidRPr="001F3B5A" w:rsidRDefault="00AF6160" w:rsidP="001F3B5A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1F3B5A">
        <w:rPr>
          <w:rFonts w:ascii="楷體-繁" w:eastAsia="楷體-繁" w:hAnsi="楷體-繁" w:hint="eastAsia"/>
          <w:b/>
          <w:bCs/>
        </w:rPr>
        <w:t>歐洲</w:t>
      </w:r>
      <w:r w:rsidRPr="001F3B5A">
        <w:rPr>
          <w:rFonts w:ascii="楷體-繁" w:eastAsia="楷體-繁" w:hAnsi="楷體-繁" w:cs="Songti TC" w:hint="eastAsia"/>
          <w:b/>
          <w:bCs/>
          <w:color w:val="000000"/>
        </w:rPr>
        <w:t>：</w:t>
      </w:r>
      <w:r w:rsidRPr="001F3B5A">
        <w:rPr>
          <w:rFonts w:ascii="楷體-繁" w:eastAsia="楷體-繁" w:hAnsi="楷體-繁" w:cs="Songti TC" w:hint="eastAsia"/>
          <w:color w:val="000000"/>
        </w:rPr>
        <w:t>到</w:t>
      </w:r>
      <w:r w:rsidRPr="001F3B5A">
        <w:rPr>
          <w:rFonts w:ascii="楷體-繁" w:eastAsia="楷體-繁" w:hAnsi="楷體-繁" w:cs="Songti TC"/>
          <w:color w:val="000000"/>
        </w:rPr>
        <w:t>2026</w:t>
      </w:r>
      <w:r w:rsidRPr="001F3B5A">
        <w:rPr>
          <w:rFonts w:ascii="楷體-繁" w:eastAsia="楷體-繁" w:hAnsi="楷體-繁" w:cs="Songti TC" w:hint="eastAsia"/>
          <w:color w:val="000000"/>
        </w:rPr>
        <w:t>年的</w:t>
      </w:r>
      <w:r w:rsidRPr="001F3B5A">
        <w:rPr>
          <w:rFonts w:ascii="楷體-繁" w:eastAsia="楷體-繁" w:hAnsi="楷體-繁" w:cs="Songti TC"/>
          <w:color w:val="000000"/>
        </w:rPr>
        <w:t>5</w:t>
      </w:r>
      <w:r w:rsidRPr="001F3B5A">
        <w:rPr>
          <w:rFonts w:ascii="楷體-繁" w:eastAsia="楷體-繁" w:hAnsi="楷體-繁" w:cs="Songti TC" w:hint="eastAsia"/>
          <w:color w:val="000000"/>
        </w:rPr>
        <w:t>年內</w:t>
      </w:r>
      <w:r w:rsidRPr="001F3B5A">
        <w:rPr>
          <w:rFonts w:ascii="楷體-繁" w:eastAsia="楷體-繁" w:hAnsi="楷體-繁" w:cs="PingFang TC" w:hint="eastAsia"/>
        </w:rPr>
        <w:t>，歐洲的支出預計</w:t>
      </w:r>
      <w:r w:rsidR="009241A9" w:rsidRPr="001F3B5A">
        <w:rPr>
          <w:rFonts w:ascii="楷體-繁" w:eastAsia="楷體-繁" w:hAnsi="楷體-繁" w:cs="PingFang TC"/>
        </w:rPr>
        <w:t>CAGR</w:t>
      </w:r>
      <w:r w:rsidR="009241A9" w:rsidRPr="001F3B5A">
        <w:rPr>
          <w:rFonts w:ascii="楷體-繁" w:eastAsia="楷體-繁" w:hAnsi="楷體-繁" w:cs="PingFang TC" w:hint="eastAsia"/>
        </w:rPr>
        <w:t>為</w:t>
      </w:r>
      <w:r w:rsidRPr="001F3B5A">
        <w:rPr>
          <w:rFonts w:ascii="楷體-繁" w:eastAsia="楷體-繁" w:hAnsi="楷體-繁" w:cs="PingFang TC" w:hint="eastAsia"/>
        </w:rPr>
        <w:t>3</w:t>
      </w:r>
      <w:r w:rsidRPr="001F3B5A">
        <w:rPr>
          <w:rFonts w:ascii="楷體-繁" w:eastAsia="楷體-繁" w:hAnsi="楷體-繁" w:cs="PingFang TC"/>
        </w:rPr>
        <w:t>~6%</w:t>
      </w:r>
      <w:r w:rsidRPr="001F3B5A">
        <w:rPr>
          <w:rFonts w:ascii="楷體-繁" w:eastAsia="楷體-繁" w:hAnsi="楷體-繁" w:cs="PingFang TC" w:hint="eastAsia"/>
        </w:rPr>
        <w:t>，或總計</w:t>
      </w:r>
      <w:r w:rsidRPr="001F3B5A">
        <w:rPr>
          <w:rFonts w:ascii="楷體-繁" w:eastAsia="楷體-繁" w:hAnsi="楷體-繁" w:cs="PingFang TC"/>
        </w:rPr>
        <w:t>510</w:t>
      </w:r>
      <w:r w:rsidRPr="001F3B5A">
        <w:rPr>
          <w:rFonts w:ascii="楷體-繁" w:eastAsia="楷體-繁" w:hAnsi="楷體-繁" w:cs="PingFang TC" w:hint="eastAsia"/>
        </w:rPr>
        <w:t>億美元，不包括</w:t>
      </w:r>
      <w:r w:rsidRPr="001F3B5A">
        <w:rPr>
          <w:rFonts w:ascii="楷體-繁" w:eastAsia="楷體-繁" w:hAnsi="楷體-繁"/>
          <w:color w:val="444444"/>
        </w:rPr>
        <w:t>COVID</w:t>
      </w:r>
      <w:r w:rsidRPr="001F3B5A">
        <w:rPr>
          <w:rFonts w:ascii="楷體-繁" w:eastAsia="楷體-繁" w:hAnsi="楷體-繁"/>
        </w:rPr>
        <w:t>疫苗和治療。</w:t>
      </w:r>
    </w:p>
    <w:p w14:paraId="725DB21F" w14:textId="78CE7D6F" w:rsidR="001F3B5A" w:rsidRPr="001F3B5A" w:rsidRDefault="001F3B5A" w:rsidP="001F3B5A">
      <w:pPr>
        <w:spacing w:before="120" w:line="0" w:lineRule="atLeast"/>
        <w:ind w:firstLineChars="150" w:firstLine="360"/>
        <w:jc w:val="both"/>
        <w:rPr>
          <w:rFonts w:ascii="楷體-繁" w:eastAsia="楷體-繁" w:hAnsi="楷體-繁" w:cs="PingFang T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43160" wp14:editId="3C7016EF">
                <wp:simplePos x="0" y="0"/>
                <wp:positionH relativeFrom="column">
                  <wp:posOffset>2421466</wp:posOffset>
                </wp:positionH>
                <wp:positionV relativeFrom="paragraph">
                  <wp:posOffset>1878542</wp:posOffset>
                </wp:positionV>
                <wp:extent cx="491067" cy="220133"/>
                <wp:effectExtent l="12700" t="12700" r="17145" b="889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7" cy="2201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A8E0A" id="橢圓 5" o:spid="_x0000_s1026" style="position:absolute;margin-left:190.65pt;margin-top:147.9pt;width:38.65pt;height:1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" filled="f" strokecolor="red" strokeweight="2pt"/>
            </w:pict>
          </mc:Fallback>
        </mc:AlternateContent>
      </w:r>
      <w:r w:rsidRPr="00893F30">
        <w:rPr>
          <w:rFonts w:ascii="楷體-繁" w:eastAsia="楷體-繁" w:hAnsi="楷體-繁"/>
          <w:noProof/>
        </w:rPr>
        <w:drawing>
          <wp:inline distT="0" distB="0" distL="0" distR="0" wp14:anchorId="407020C2" wp14:editId="0975A273">
            <wp:extent cx="5854700" cy="3437990"/>
            <wp:effectExtent l="12700" t="12700" r="12700" b="165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0327" cy="34471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E3E362" w14:textId="7986E4E0" w:rsidR="001F3B5A" w:rsidRPr="001F3B5A" w:rsidRDefault="005A1C9B" w:rsidP="001F3B5A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1F3B5A">
        <w:rPr>
          <w:rFonts w:ascii="楷體-繁" w:eastAsia="楷體-繁" w:hAnsi="楷體-繁"/>
          <w:b/>
          <w:bCs/>
        </w:rPr>
        <w:t>新藥：</w:t>
      </w:r>
      <w:r w:rsidRPr="001F3B5A">
        <w:rPr>
          <w:rFonts w:ascii="楷體-繁" w:eastAsia="楷體-繁" w:hAnsi="楷體-繁"/>
        </w:rPr>
        <w:t>到2026年，</w:t>
      </w:r>
      <w:r w:rsidRPr="001F3B5A">
        <w:rPr>
          <w:rFonts w:ascii="楷體-繁" w:eastAsia="楷體-繁" w:hAnsi="楷體-繁" w:hint="eastAsia"/>
        </w:rPr>
        <w:t>成熟</w:t>
      </w:r>
      <w:r w:rsidRPr="001F3B5A">
        <w:rPr>
          <w:rFonts w:ascii="楷體-繁" w:eastAsia="楷體-繁" w:hAnsi="楷體-繁"/>
        </w:rPr>
        <w:t>市場的新品牌的絕對支出預計將增加到1,960億美元，在過去</w:t>
      </w:r>
      <w:r w:rsidRPr="001F3B5A">
        <w:rPr>
          <w:rFonts w:ascii="楷體-繁" w:eastAsia="楷體-繁" w:hAnsi="楷體-繁" w:hint="eastAsia"/>
        </w:rPr>
        <w:t>5</w:t>
      </w:r>
      <w:r w:rsidRPr="001F3B5A">
        <w:rPr>
          <w:rFonts w:ascii="楷體-繁" w:eastAsia="楷體-繁" w:hAnsi="楷體-繁"/>
        </w:rPr>
        <w:t>年中增長超過20%，繼續保持新藥支出的歷史高位，並在很大程度上從</w:t>
      </w:r>
      <w:r w:rsidRPr="001F3B5A">
        <w:rPr>
          <w:rFonts w:ascii="楷體-繁" w:eastAsia="楷體-繁" w:hAnsi="楷體-繁" w:hint="eastAsia"/>
        </w:rPr>
        <w:t>疫情</w:t>
      </w:r>
      <w:r w:rsidRPr="001F3B5A">
        <w:rPr>
          <w:rFonts w:ascii="楷體-繁" w:eastAsia="楷體-繁" w:hAnsi="楷體-繁"/>
        </w:rPr>
        <w:t>的影響中恢復。預計新活性物質的</w:t>
      </w:r>
      <w:r w:rsidRPr="001F3B5A">
        <w:rPr>
          <w:rFonts w:ascii="楷體-繁" w:eastAsia="楷體-繁" w:hAnsi="楷體-繁" w:hint="eastAsia"/>
        </w:rPr>
        <w:t>上市</w:t>
      </w:r>
      <w:r w:rsidRPr="001F3B5A">
        <w:rPr>
          <w:rFonts w:ascii="楷體-繁" w:eastAsia="楷體-繁" w:hAnsi="楷體-繁"/>
        </w:rPr>
        <w:t>也將繼續保持在比過去</w:t>
      </w:r>
      <w:r w:rsidRPr="001F3B5A">
        <w:rPr>
          <w:rFonts w:ascii="楷體-繁" w:eastAsia="楷體-繁" w:hAnsi="楷體-繁" w:hint="eastAsia"/>
        </w:rPr>
        <w:t>1</w:t>
      </w:r>
      <w:r w:rsidRPr="001F3B5A">
        <w:rPr>
          <w:rFonts w:ascii="楷體-繁" w:eastAsia="楷體-繁" w:hAnsi="楷體-繁"/>
        </w:rPr>
        <w:t>0年更高的水準，平均每年54~63種，到2026年的</w:t>
      </w:r>
      <w:r w:rsidRPr="001F3B5A">
        <w:rPr>
          <w:rFonts w:ascii="楷體-繁" w:eastAsia="楷體-繁" w:hAnsi="楷體-繁" w:hint="eastAsia"/>
        </w:rPr>
        <w:t>5</w:t>
      </w:r>
      <w:r w:rsidRPr="001F3B5A">
        <w:rPr>
          <w:rFonts w:ascii="楷體-繁" w:eastAsia="楷體-繁" w:hAnsi="楷體-繁"/>
        </w:rPr>
        <w:t>年內總計290~315種。</w:t>
      </w:r>
    </w:p>
    <w:p w14:paraId="45968E3C" w14:textId="056F24D0" w:rsidR="00EA306A" w:rsidRPr="001F3B5A" w:rsidRDefault="00124CB9" w:rsidP="001F3B5A">
      <w:pPr>
        <w:pStyle w:val="a7"/>
        <w:numPr>
          <w:ilvl w:val="0"/>
          <w:numId w:val="43"/>
        </w:numPr>
        <w:spacing w:before="180" w:line="0" w:lineRule="atLeast"/>
        <w:ind w:leftChars="0"/>
        <w:jc w:val="both"/>
        <w:rPr>
          <w:rFonts w:ascii="楷體-繁" w:eastAsia="楷體-繁" w:hAnsi="楷體-繁" w:cs="PingFang TC"/>
        </w:rPr>
      </w:pPr>
      <w:r w:rsidRPr="001F3B5A">
        <w:rPr>
          <w:rFonts w:ascii="楷體-繁" w:eastAsia="楷體-繁" w:hAnsi="楷體-繁" w:cs="Songti TC"/>
          <w:b/>
          <w:bCs/>
        </w:rPr>
        <w:t>品牌</w:t>
      </w:r>
      <w:r w:rsidRPr="001F3B5A">
        <w:rPr>
          <w:rFonts w:ascii="楷體-繁" w:eastAsia="楷體-繁" w:hAnsi="楷體-繁" w:cs="Songti TC" w:hint="eastAsia"/>
          <w:b/>
          <w:bCs/>
        </w:rPr>
        <w:t>專有</w:t>
      </w:r>
      <w:r w:rsidRPr="001F3B5A">
        <w:rPr>
          <w:rFonts w:ascii="楷體-繁" w:eastAsia="楷體-繁" w:hAnsi="楷體-繁" w:cs="Songti TC"/>
          <w:b/>
          <w:bCs/>
        </w:rPr>
        <w:t>權的喪失和生物</w:t>
      </w:r>
      <w:r w:rsidRPr="001F3B5A">
        <w:rPr>
          <w:rFonts w:ascii="楷體-繁" w:eastAsia="楷體-繁" w:hAnsi="楷體-繁" w:cs="Songti TC" w:hint="eastAsia"/>
          <w:b/>
          <w:bCs/>
        </w:rPr>
        <w:t>相似</w:t>
      </w:r>
      <w:r w:rsidRPr="001F3B5A">
        <w:rPr>
          <w:rFonts w:ascii="楷體-繁" w:eastAsia="楷體-繁" w:hAnsi="楷體-繁" w:cs="Songti TC"/>
          <w:b/>
          <w:bCs/>
        </w:rPr>
        <w:t>藥的增加：</w:t>
      </w:r>
      <w:r w:rsidR="00437C7B" w:rsidRPr="001F3B5A">
        <w:rPr>
          <w:rFonts w:ascii="楷體-繁" w:eastAsia="楷體-繁" w:hAnsi="楷體-繁" w:cs="Songti TC" w:hint="eastAsia"/>
        </w:rPr>
        <w:t>專有</w:t>
      </w:r>
      <w:r w:rsidR="00437C7B" w:rsidRPr="001F3B5A">
        <w:rPr>
          <w:rFonts w:ascii="楷體-繁" w:eastAsia="楷體-繁" w:hAnsi="楷體-繁" w:cs="Songti TC"/>
        </w:rPr>
        <w:t>權喪失的影響將在未來</w:t>
      </w:r>
      <w:r w:rsidR="00437C7B" w:rsidRPr="001F3B5A">
        <w:rPr>
          <w:rFonts w:ascii="楷體-繁" w:eastAsia="楷體-繁" w:hAnsi="楷體-繁" w:cs="Songti TC" w:hint="eastAsia"/>
        </w:rPr>
        <w:t>5</w:t>
      </w:r>
      <w:r w:rsidR="00437C7B" w:rsidRPr="001F3B5A">
        <w:rPr>
          <w:rFonts w:ascii="楷體-繁" w:eastAsia="楷體-繁" w:hAnsi="楷體-繁" w:cs="Songti TC"/>
        </w:rPr>
        <w:t>年內增加到1880億美元，主要是由於生物</w:t>
      </w:r>
      <w:r w:rsidR="00437C7B" w:rsidRPr="001F3B5A">
        <w:rPr>
          <w:rFonts w:ascii="楷體-繁" w:eastAsia="楷體-繁" w:hAnsi="楷體-繁" w:cs="Songti TC" w:hint="eastAsia"/>
        </w:rPr>
        <w:t>相似</w:t>
      </w:r>
      <w:r w:rsidR="00437C7B" w:rsidRPr="001F3B5A">
        <w:rPr>
          <w:rFonts w:ascii="楷體-繁" w:eastAsia="楷體-繁" w:hAnsi="楷體-繁" w:cs="Songti TC"/>
        </w:rPr>
        <w:t>藥的可</w:t>
      </w:r>
      <w:r w:rsidR="00437C7B" w:rsidRPr="001F3B5A">
        <w:rPr>
          <w:rFonts w:ascii="楷體-繁" w:eastAsia="楷體-繁" w:hAnsi="楷體-繁" w:cs="Songti TC" w:hint="eastAsia"/>
        </w:rPr>
        <w:t>得</w:t>
      </w:r>
      <w:r w:rsidR="00437C7B" w:rsidRPr="001F3B5A">
        <w:rPr>
          <w:rFonts w:ascii="楷體-繁" w:eastAsia="楷體-繁" w:hAnsi="楷體-繁" w:cs="Songti TC"/>
        </w:rPr>
        <w:t>性，在某些國家，這將比小分子產生更大的影響</w:t>
      </w:r>
      <w:r w:rsidR="00437C7B" w:rsidRPr="001F3B5A">
        <w:rPr>
          <w:rFonts w:ascii="楷體-繁" w:eastAsia="楷體-繁" w:hAnsi="楷體-繁" w:cs="PingFang TC"/>
        </w:rPr>
        <w:t>。2022</w:t>
      </w:r>
      <w:r w:rsidR="00FA04F9" w:rsidRPr="001F3B5A">
        <w:rPr>
          <w:rFonts w:ascii="楷體-繁" w:eastAsia="楷體-繁" w:hAnsi="楷體-繁" w:cs="PingFang TC"/>
        </w:rPr>
        <w:t>~</w:t>
      </w:r>
      <w:r w:rsidR="00437C7B" w:rsidRPr="001F3B5A">
        <w:rPr>
          <w:rFonts w:ascii="楷體-繁" w:eastAsia="楷體-繁" w:hAnsi="楷體-繁" w:cs="PingFang TC"/>
        </w:rPr>
        <w:t>2026年，新</w:t>
      </w:r>
      <w:r w:rsidR="00437C7B" w:rsidRPr="001F3B5A">
        <w:rPr>
          <w:rFonts w:ascii="楷體-繁" w:eastAsia="楷體-繁" w:hAnsi="楷體-繁" w:cs="PingFang TC" w:hint="eastAsia"/>
        </w:rPr>
        <w:t>的</w:t>
      </w:r>
      <w:r w:rsidR="00437C7B" w:rsidRPr="001F3B5A">
        <w:rPr>
          <w:rFonts w:ascii="楷體-繁" w:eastAsia="楷體-繁" w:hAnsi="楷體-繁" w:cs="PingFang TC"/>
        </w:rPr>
        <w:t>生物</w:t>
      </w:r>
      <w:r w:rsidR="00437C7B" w:rsidRPr="001F3B5A">
        <w:rPr>
          <w:rFonts w:ascii="楷體-繁" w:eastAsia="楷體-繁" w:hAnsi="楷體-繁" w:cs="PingFang TC" w:hint="eastAsia"/>
        </w:rPr>
        <w:t>相似藥</w:t>
      </w:r>
      <w:r w:rsidR="00437C7B" w:rsidRPr="001F3B5A">
        <w:rPr>
          <w:rFonts w:ascii="楷體-繁" w:eastAsia="楷體-繁" w:hAnsi="楷體-繁" w:cs="PingFang TC"/>
        </w:rPr>
        <w:t>的累計增量節省估計將達到2150億美元</w:t>
      </w:r>
      <w:r w:rsidR="00E52F36" w:rsidRPr="001F3B5A">
        <w:rPr>
          <w:rFonts w:ascii="楷體-繁" w:eastAsia="楷體-繁" w:hAnsi="楷體-繁"/>
        </w:rPr>
        <w:t>。</w:t>
      </w:r>
    </w:p>
    <w:p w14:paraId="33D3024B" w14:textId="4495D40A" w:rsidR="00E52F36" w:rsidRPr="00E52F36" w:rsidRDefault="00E52F36" w:rsidP="00F922D2">
      <w:pPr>
        <w:spacing w:before="120" w:line="0" w:lineRule="atLeast"/>
        <w:ind w:left="482" w:firstLineChars="100" w:firstLine="240"/>
        <w:jc w:val="both"/>
      </w:pPr>
      <w:r w:rsidRPr="00E52F36">
        <w:rPr>
          <w:noProof/>
        </w:rPr>
        <w:lastRenderedPageBreak/>
        <w:drawing>
          <wp:inline distT="0" distB="0" distL="0" distR="0" wp14:anchorId="42F453BB" wp14:editId="6915F7B3">
            <wp:extent cx="5550332" cy="3289300"/>
            <wp:effectExtent l="12700" t="12700" r="12700" b="1270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635" cy="33013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C11FBB" w14:textId="64242ACF" w:rsidR="005A061C" w:rsidRDefault="000B5A77" w:rsidP="00396B58">
      <w:pPr>
        <w:pStyle w:val="a7"/>
        <w:numPr>
          <w:ilvl w:val="0"/>
          <w:numId w:val="42"/>
        </w:numPr>
        <w:spacing w:before="180" w:line="0" w:lineRule="atLeast"/>
        <w:ind w:leftChars="0" w:left="964" w:hanging="482"/>
        <w:jc w:val="both"/>
        <w:rPr>
          <w:rFonts w:ascii="楷體-繁" w:eastAsia="楷體-繁" w:hAnsi="楷體-繁"/>
        </w:rPr>
      </w:pPr>
      <w:r w:rsidRPr="00EA306A">
        <w:rPr>
          <w:rFonts w:ascii="楷體-繁" w:eastAsia="楷體-繁" w:hAnsi="楷體-繁" w:cs="Songti TC"/>
          <w:b/>
          <w:bCs/>
        </w:rPr>
        <w:t>治療領域</w:t>
      </w:r>
      <w:r w:rsidRPr="00EA306A">
        <w:rPr>
          <w:rFonts w:ascii="楷體-繁" w:eastAsia="楷體-繁" w:hAnsi="楷體-繁" w:cs="Songti TC" w:hint="eastAsia"/>
          <w:b/>
          <w:bCs/>
        </w:rPr>
        <w:t>的</w:t>
      </w:r>
      <w:r w:rsidRPr="00EA306A">
        <w:rPr>
          <w:rFonts w:ascii="楷體-繁" w:eastAsia="楷體-繁" w:hAnsi="楷體-繁" w:cs="Songti TC"/>
          <w:b/>
          <w:bCs/>
        </w:rPr>
        <w:t>增長：</w:t>
      </w:r>
      <w:r w:rsidRPr="00EA306A">
        <w:rPr>
          <w:rFonts w:ascii="楷體-繁" w:eastAsia="楷體-繁" w:hAnsi="楷體-繁"/>
        </w:rPr>
        <w:t>到2026年，兩個全球領先的治療領域</w:t>
      </w:r>
      <w:r w:rsidRPr="00EA306A">
        <w:rPr>
          <w:rFonts w:ascii="楷體-繁" w:eastAsia="楷體-繁" w:hAnsi="楷體-繁" w:hint="eastAsia"/>
        </w:rPr>
        <w:t xml:space="preserve"> </w:t>
      </w:r>
      <w:r w:rsidRPr="00EA306A">
        <w:rPr>
          <w:rFonts w:ascii="楷體-繁" w:eastAsia="楷體-繁" w:hAnsi="楷體-繁" w:cs="Times"/>
        </w:rPr>
        <w:t>—</w:t>
      </w:r>
      <w:r w:rsidRPr="00EA306A">
        <w:rPr>
          <w:rFonts w:ascii="楷體-繁" w:eastAsia="楷體-繁" w:hAnsi="楷體-繁"/>
        </w:rPr>
        <w:t xml:space="preserve"> 腫瘤和免疫</w:t>
      </w:r>
      <w:r w:rsidRPr="00EA306A">
        <w:rPr>
          <w:rFonts w:ascii="楷體-繁" w:eastAsia="楷體-繁" w:hAnsi="楷體-繁" w:hint="eastAsia"/>
        </w:rPr>
        <w:t xml:space="preserve"> </w:t>
      </w:r>
      <w:r w:rsidRPr="00EA306A">
        <w:rPr>
          <w:rFonts w:ascii="楷體-繁" w:eastAsia="楷體-繁" w:hAnsi="楷體-繁" w:cs="Times"/>
        </w:rPr>
        <w:t>—</w:t>
      </w:r>
      <w:r w:rsidR="00DF1205">
        <w:rPr>
          <w:rFonts w:ascii="楷體-繁" w:eastAsia="楷體-繁" w:hAnsi="楷體-繁" w:cs="Times"/>
        </w:rPr>
        <w:t xml:space="preserve"> </w:t>
      </w:r>
      <w:r w:rsidR="00DF1205" w:rsidRPr="00EA306A">
        <w:rPr>
          <w:rFonts w:ascii="楷體-繁" w:eastAsia="楷體-繁" w:hAnsi="楷體-繁"/>
        </w:rPr>
        <w:t>預計</w:t>
      </w:r>
      <w:r w:rsidR="00DF1205">
        <w:rPr>
          <w:rFonts w:ascii="楷體-繁" w:eastAsia="楷體-繁" w:hAnsi="楷體-繁" w:cs="Times"/>
        </w:rPr>
        <w:t xml:space="preserve"> </w:t>
      </w:r>
      <w:r w:rsidR="00DF1205">
        <w:rPr>
          <w:rFonts w:ascii="楷體-繁" w:eastAsia="楷體-繁" w:hAnsi="楷體-繁" w:hint="eastAsia"/>
        </w:rPr>
        <w:t>C</w:t>
      </w:r>
      <w:r w:rsidR="00DF1205">
        <w:rPr>
          <w:rFonts w:ascii="楷體-繁" w:eastAsia="楷體-繁" w:hAnsi="楷體-繁"/>
        </w:rPr>
        <w:t>AGR</w:t>
      </w:r>
      <w:r w:rsidRPr="00E40796">
        <w:rPr>
          <w:rFonts w:ascii="楷體-繁" w:eastAsia="楷體-繁" w:hAnsi="楷體-繁"/>
        </w:rPr>
        <w:t>分別</w:t>
      </w:r>
      <w:r w:rsidR="00D6479A">
        <w:rPr>
          <w:rFonts w:ascii="楷體-繁" w:eastAsia="楷體-繁" w:hAnsi="楷體-繁" w:hint="eastAsia"/>
        </w:rPr>
        <w:t>為</w:t>
      </w:r>
      <w:r w:rsidRPr="00E40796">
        <w:rPr>
          <w:rFonts w:ascii="楷體-繁" w:eastAsia="楷體-繁" w:hAnsi="楷體-繁"/>
        </w:rPr>
        <w:t>9~12%和6~9%，這得益於新療法和藥物使用的顯著增加，並被生物</w:t>
      </w:r>
      <w:r w:rsidRPr="00E40796">
        <w:rPr>
          <w:rFonts w:ascii="楷體-繁" w:eastAsia="楷體-繁" w:hAnsi="楷體-繁" w:hint="eastAsia"/>
        </w:rPr>
        <w:t>相似</w:t>
      </w:r>
      <w:r w:rsidRPr="00E40796">
        <w:rPr>
          <w:rFonts w:ascii="楷體-繁" w:eastAsia="楷體-繁" w:hAnsi="楷體-繁"/>
        </w:rPr>
        <w:t>藥的影響抵消。</w:t>
      </w:r>
      <w:r w:rsidR="00393DF7" w:rsidRPr="00E40796">
        <w:rPr>
          <w:rFonts w:ascii="楷體-繁" w:eastAsia="楷體-繁" w:hAnsi="楷體-繁"/>
        </w:rPr>
        <w:t>腫瘤</w:t>
      </w:r>
      <w:r w:rsidR="00DF1205">
        <w:rPr>
          <w:rFonts w:ascii="楷體-繁" w:eastAsia="楷體-繁" w:hAnsi="楷體-繁" w:hint="eastAsia"/>
        </w:rPr>
        <w:t>領域</w:t>
      </w:r>
      <w:r w:rsidR="00393DF7" w:rsidRPr="00E40796">
        <w:rPr>
          <w:rFonts w:ascii="楷體-繁" w:eastAsia="楷體-繁" w:hAnsi="楷體-繁"/>
        </w:rPr>
        <w:t>預計將在</w:t>
      </w:r>
      <w:r w:rsidR="00393DF7" w:rsidRPr="00E40796">
        <w:rPr>
          <w:rFonts w:ascii="楷體-繁" w:eastAsia="楷體-繁" w:hAnsi="楷體-繁" w:hint="eastAsia"/>
        </w:rPr>
        <w:t>5</w:t>
      </w:r>
      <w:r w:rsidR="00393DF7" w:rsidRPr="00E40796">
        <w:rPr>
          <w:rFonts w:ascii="楷體-繁" w:eastAsia="楷體-繁" w:hAnsi="楷體-繁"/>
        </w:rPr>
        <w:t>年內</w:t>
      </w:r>
      <w:r w:rsidR="00393DF7" w:rsidRPr="00E40796">
        <w:rPr>
          <w:rFonts w:ascii="楷體-繁" w:eastAsia="楷體-繁" w:hAnsi="楷體-繁" w:hint="eastAsia"/>
        </w:rPr>
        <w:t>新</w:t>
      </w:r>
      <w:r w:rsidR="00393DF7" w:rsidRPr="00E40796">
        <w:rPr>
          <w:rFonts w:ascii="楷體-繁" w:eastAsia="楷體-繁" w:hAnsi="楷體-繁"/>
        </w:rPr>
        <w:t>增100種新療法，從而使支出增加1190億美元，到2026年總支出將超過3000億美元。</w:t>
      </w:r>
      <w:r w:rsidR="00DF1205" w:rsidRPr="00E40796">
        <w:rPr>
          <w:rFonts w:ascii="楷體-繁" w:eastAsia="楷體-繁" w:hAnsi="楷體-繁" w:cs="Songti TC"/>
        </w:rPr>
        <w:t>免疫</w:t>
      </w:r>
      <w:r w:rsidR="00DF1205">
        <w:rPr>
          <w:rFonts w:ascii="楷體-繁" w:eastAsia="楷體-繁" w:hAnsi="楷體-繁" w:cs="Songti TC" w:hint="eastAsia"/>
        </w:rPr>
        <w:t>領域</w:t>
      </w:r>
      <w:r w:rsidR="00393DF7" w:rsidRPr="00E40796">
        <w:rPr>
          <w:rFonts w:ascii="楷體-繁" w:eastAsia="楷體-繁" w:hAnsi="楷體-繁" w:cs="Songti TC"/>
        </w:rPr>
        <w:t>由於生物</w:t>
      </w:r>
      <w:r w:rsidR="00393DF7" w:rsidRPr="00E40796">
        <w:rPr>
          <w:rFonts w:ascii="楷體-繁" w:eastAsia="楷體-繁" w:hAnsi="楷體-繁" w:cs="Songti TC" w:hint="eastAsia"/>
        </w:rPr>
        <w:t>相似</w:t>
      </w:r>
      <w:r w:rsidR="00393DF7" w:rsidRPr="00E40796">
        <w:rPr>
          <w:rFonts w:ascii="楷體-繁" w:eastAsia="楷體-繁" w:hAnsi="楷體-繁" w:cs="Songti TC"/>
        </w:rPr>
        <w:t>藥提供更低成本的治療並抵消量和藥物</w:t>
      </w:r>
      <w:r w:rsidR="00393DF7" w:rsidRPr="00E40796">
        <w:rPr>
          <w:rFonts w:ascii="楷體-繁" w:eastAsia="楷體-繁" w:hAnsi="楷體-繁" w:cs="Songti TC" w:hint="eastAsia"/>
        </w:rPr>
        <w:t>上市</w:t>
      </w:r>
      <w:r w:rsidR="00393DF7" w:rsidRPr="00E40796">
        <w:rPr>
          <w:rFonts w:ascii="楷體-繁" w:eastAsia="楷體-繁" w:hAnsi="楷體-繁" w:cs="Songti TC"/>
        </w:rPr>
        <w:t>的增長，增長預計將從過去</w:t>
      </w:r>
      <w:r w:rsidR="00393DF7" w:rsidRPr="00E40796">
        <w:rPr>
          <w:rFonts w:ascii="楷體-繁" w:eastAsia="楷體-繁" w:hAnsi="楷體-繁" w:cs="Songti TC" w:hint="eastAsia"/>
        </w:rPr>
        <w:t>5</w:t>
      </w:r>
      <w:r w:rsidR="00393DF7" w:rsidRPr="00E40796">
        <w:rPr>
          <w:rFonts w:ascii="楷體-繁" w:eastAsia="楷體-繁" w:hAnsi="楷體-繁" w:cs="Songti TC"/>
        </w:rPr>
        <w:t>年16.9%的</w:t>
      </w:r>
      <w:r w:rsidR="00C63887">
        <w:rPr>
          <w:rFonts w:ascii="楷體-繁" w:eastAsia="楷體-繁" w:hAnsi="楷體-繁" w:hint="eastAsia"/>
        </w:rPr>
        <w:t>C</w:t>
      </w:r>
      <w:r w:rsidR="00C63887">
        <w:rPr>
          <w:rFonts w:ascii="楷體-繁" w:eastAsia="楷體-繁" w:hAnsi="楷體-繁"/>
        </w:rPr>
        <w:t>AGR</w:t>
      </w:r>
      <w:r w:rsidR="00393DF7" w:rsidRPr="00E40796">
        <w:rPr>
          <w:rFonts w:ascii="楷體-繁" w:eastAsia="楷體-繁" w:hAnsi="楷體-繁" w:cs="Songti TC"/>
        </w:rPr>
        <w:t>放緩至6~9%。</w:t>
      </w:r>
      <w:r w:rsidR="00EA306A" w:rsidRPr="00E40796">
        <w:rPr>
          <w:rFonts w:ascii="楷體-繁" w:eastAsia="楷體-繁" w:hAnsi="楷體-繁"/>
        </w:rPr>
        <w:t>此外，神經領域有望出現許多新療法，包括新型偏頭痛療法、罕見神經疾病的潛在療法以及</w:t>
      </w:r>
      <w:r w:rsidR="00EA306A" w:rsidRPr="00E40796">
        <w:rPr>
          <w:rFonts w:ascii="楷體-繁" w:eastAsia="楷體-繁" w:hAnsi="楷體-繁" w:hint="eastAsia"/>
        </w:rPr>
        <w:t>阿茲海默氏症</w:t>
      </w:r>
      <w:r w:rsidR="00EA306A" w:rsidRPr="00E40796">
        <w:rPr>
          <w:rFonts w:ascii="楷體-繁" w:eastAsia="楷體-繁" w:hAnsi="楷體-繁"/>
        </w:rPr>
        <w:t>和帕金森</w:t>
      </w:r>
      <w:r w:rsidR="00EA306A" w:rsidRPr="00E40796">
        <w:rPr>
          <w:rFonts w:ascii="楷體-繁" w:eastAsia="楷體-繁" w:hAnsi="楷體-繁" w:hint="eastAsia"/>
        </w:rPr>
        <w:t>氏</w:t>
      </w:r>
      <w:r w:rsidR="00EA306A" w:rsidRPr="00E40796">
        <w:rPr>
          <w:rFonts w:ascii="楷體-繁" w:eastAsia="楷體-繁" w:hAnsi="楷體-繁"/>
        </w:rPr>
        <w:t>病的潛在療法。</w:t>
      </w:r>
      <w:r w:rsidR="00007B8E">
        <w:rPr>
          <w:rFonts w:ascii="楷體-繁" w:eastAsia="楷體-繁" w:hAnsi="楷體-繁" w:hint="eastAsia"/>
        </w:rPr>
        <w:t>糖尿病領域</w:t>
      </w:r>
      <w:r w:rsidR="00007B8E">
        <w:rPr>
          <w:rFonts w:ascii="楷體-繁" w:eastAsia="楷體-繁" w:hAnsi="楷體-繁" w:hint="eastAsia"/>
        </w:rPr>
        <w:t>C</w:t>
      </w:r>
      <w:r w:rsidR="00007B8E">
        <w:rPr>
          <w:rFonts w:ascii="楷體-繁" w:eastAsia="楷體-繁" w:hAnsi="楷體-繁"/>
        </w:rPr>
        <w:t>AGR</w:t>
      </w:r>
      <w:r w:rsidR="00007B8E">
        <w:rPr>
          <w:rFonts w:ascii="楷體-繁" w:eastAsia="楷體-繁" w:hAnsi="楷體-繁"/>
        </w:rPr>
        <w:t xml:space="preserve"> </w:t>
      </w:r>
      <w:r w:rsidR="00007B8E" w:rsidRPr="00E40796">
        <w:rPr>
          <w:rFonts w:ascii="楷體-繁" w:eastAsia="楷體-繁" w:hAnsi="楷體-繁" w:cs="Songti TC"/>
        </w:rPr>
        <w:t>6~9%</w:t>
      </w:r>
      <w:r w:rsidR="00007B8E" w:rsidRPr="00E40796">
        <w:rPr>
          <w:rFonts w:ascii="楷體-繁" w:eastAsia="楷體-繁" w:hAnsi="楷體-繁"/>
        </w:rPr>
        <w:t>，</w:t>
      </w:r>
      <w:r w:rsidR="00007B8E">
        <w:rPr>
          <w:rFonts w:ascii="楷體-繁" w:eastAsia="楷體-繁" w:hAnsi="楷體-繁" w:hint="eastAsia"/>
        </w:rPr>
        <w:t>抗凝血劑和皮膚疾病領域</w:t>
      </w:r>
      <w:r w:rsidR="00D6479A">
        <w:rPr>
          <w:rFonts w:ascii="楷體-繁" w:eastAsia="楷體-繁" w:hAnsi="楷體-繁" w:hint="eastAsia"/>
        </w:rPr>
        <w:t>也有望以</w:t>
      </w:r>
      <w:r w:rsidR="00D6479A">
        <w:rPr>
          <w:rFonts w:ascii="楷體-繁" w:eastAsia="楷體-繁" w:hAnsi="楷體-繁"/>
        </w:rPr>
        <w:t>8~11%</w:t>
      </w:r>
      <w:r w:rsidR="00D6479A">
        <w:rPr>
          <w:rFonts w:ascii="楷體-繁" w:eastAsia="楷體-繁" w:hAnsi="楷體-繁" w:hint="eastAsia"/>
        </w:rPr>
        <w:t>的速度增長</w:t>
      </w:r>
      <w:r w:rsidR="00007B8E" w:rsidRPr="00E40796">
        <w:rPr>
          <w:rFonts w:ascii="楷體-繁" w:eastAsia="楷體-繁" w:hAnsi="楷體-繁" w:cs="Songti TC"/>
        </w:rPr>
        <w:t>。</w:t>
      </w:r>
      <w:r w:rsidR="00EA306A" w:rsidRPr="00E40796">
        <w:rPr>
          <w:rFonts w:ascii="楷體-繁" w:eastAsia="楷體-繁" w:hAnsi="楷體-繁" w:cs="PingFang TC" w:hint="eastAsia"/>
        </w:rPr>
        <w:t>（譯註</w:t>
      </w:r>
      <w:r w:rsidR="00EA306A" w:rsidRPr="00E40796">
        <w:rPr>
          <w:rFonts w:ascii="楷體-繁" w:eastAsia="楷體-繁" w:hAnsi="楷體-繁" w:cs="Songti TC" w:hint="eastAsia"/>
        </w:rPr>
        <w:t>：</w:t>
      </w:r>
      <w:r w:rsidR="00EA306A" w:rsidRPr="00E40796">
        <w:rPr>
          <w:rFonts w:ascii="楷體-繁" w:eastAsia="楷體-繁" w:hAnsi="楷體-繁" w:hint="eastAsia"/>
        </w:rPr>
        <w:t>阿茲海默氏症</w:t>
      </w:r>
      <w:r w:rsidR="00EA306A" w:rsidRPr="00E40796">
        <w:rPr>
          <w:rFonts w:ascii="楷體-繁" w:eastAsia="楷體-繁" w:hAnsi="楷體-繁"/>
        </w:rPr>
        <w:t>的潛在療法</w:t>
      </w:r>
      <w:r w:rsidR="00EA306A" w:rsidRPr="00E40796">
        <w:rPr>
          <w:rFonts w:ascii="楷體-繁" w:eastAsia="楷體-繁" w:hAnsi="楷體-繁" w:hint="eastAsia"/>
        </w:rPr>
        <w:t>方面</w:t>
      </w:r>
      <w:r w:rsidR="00EA306A" w:rsidRPr="00E40796">
        <w:rPr>
          <w:rFonts w:ascii="楷體-繁" w:eastAsia="楷體-繁" w:hAnsi="楷體-繁" w:cs="PingFang TC" w:hint="eastAsia"/>
        </w:rPr>
        <w:t>，</w:t>
      </w:r>
      <w:r w:rsidR="00EA306A" w:rsidRPr="00E40796">
        <w:rPr>
          <w:rFonts w:ascii="楷體-繁" w:eastAsia="楷體-繁" w:hAnsi="楷體-繁" w:cs="PingFang TC"/>
        </w:rPr>
        <w:t>Biogen</w:t>
      </w:r>
      <w:r w:rsidR="00EA306A" w:rsidRPr="00E40796">
        <w:rPr>
          <w:rFonts w:ascii="楷體-繁" w:eastAsia="楷體-繁" w:hAnsi="楷體-繁" w:cs="PingFang TC" w:hint="eastAsia"/>
        </w:rPr>
        <w:t>和</w:t>
      </w:r>
      <w:r w:rsidR="00EA306A" w:rsidRPr="00E40796">
        <w:rPr>
          <w:rFonts w:ascii="楷體-繁" w:eastAsia="楷體-繁" w:hAnsi="楷體-繁" w:cs="PingFang TC"/>
        </w:rPr>
        <w:t>Eisai</w:t>
      </w:r>
      <w:r w:rsidR="00EA306A" w:rsidRPr="00E40796">
        <w:rPr>
          <w:rFonts w:ascii="楷體-繁" w:eastAsia="楷體-繁" w:hAnsi="楷體-繁" w:cs="PingFang TC" w:hint="eastAsia"/>
        </w:rPr>
        <w:t>共同開發的</w:t>
      </w:r>
      <w:proofErr w:type="spellStart"/>
      <w:r w:rsidR="000A0F73" w:rsidRPr="00E40796">
        <w:rPr>
          <w:rFonts w:ascii="楷體-繁" w:eastAsia="楷體-繁" w:hAnsi="楷體-繁" w:cs="PingFang TC"/>
        </w:rPr>
        <w:t>Aduhelm</w:t>
      </w:r>
      <w:proofErr w:type="spellEnd"/>
      <w:r w:rsidR="000A0F73" w:rsidRPr="00E40796">
        <w:rPr>
          <w:rFonts w:ascii="楷體-繁" w:eastAsia="楷體-繁" w:hAnsi="楷體-繁" w:cs="PingFang TC" w:hint="eastAsia"/>
        </w:rPr>
        <w:t>面臨嚴峻挑戰</w:t>
      </w:r>
      <w:r w:rsidR="000A0F73" w:rsidRPr="00E40796">
        <w:rPr>
          <w:rFonts w:ascii="楷體-繁" w:eastAsia="楷體-繁" w:hAnsi="楷體-繁"/>
        </w:rPr>
        <w:t>。</w:t>
      </w:r>
      <w:r w:rsidR="000A0F73" w:rsidRPr="00E40796">
        <w:rPr>
          <w:rFonts w:ascii="楷體-繁" w:eastAsia="楷體-繁" w:hAnsi="楷體-繁" w:hint="eastAsia"/>
        </w:rPr>
        <w:t>美國</w:t>
      </w:r>
      <w:r w:rsidR="000A0F73" w:rsidRPr="00E40796">
        <w:rPr>
          <w:rFonts w:ascii="楷體-繁" w:eastAsia="楷體-繁" w:hAnsi="楷體-繁"/>
        </w:rPr>
        <w:t>FDA</w:t>
      </w:r>
      <w:r w:rsidR="000A0F73" w:rsidRPr="00E40796">
        <w:rPr>
          <w:rFonts w:ascii="楷體-繁" w:eastAsia="楷體-繁" w:hAnsi="楷體-繁" w:hint="eastAsia"/>
        </w:rPr>
        <w:t>核准</w:t>
      </w:r>
      <w:r w:rsidR="00A04DC9" w:rsidRPr="00E40796">
        <w:rPr>
          <w:rFonts w:ascii="楷體-繁" w:eastAsia="楷體-繁" w:hAnsi="楷體-繁" w:cs="PingFang TC"/>
        </w:rPr>
        <w:t>，</w:t>
      </w:r>
      <w:r w:rsidR="000A0F73" w:rsidRPr="00E40796">
        <w:rPr>
          <w:rFonts w:ascii="楷體-繁" w:eastAsia="楷體-繁" w:hAnsi="楷體-繁" w:hint="eastAsia"/>
        </w:rPr>
        <w:t>但</w:t>
      </w:r>
      <w:r w:rsidR="00A04DC9" w:rsidRPr="00E40796">
        <w:rPr>
          <w:rStyle w:val="apple-converted-space"/>
          <w:rFonts w:ascii="楷體-繁" w:eastAsia="楷體-繁" w:hAnsi="楷體-繁"/>
          <w:shd w:val="clear" w:color="auto" w:fill="FFFFFF"/>
        </w:rPr>
        <w:t> </w:t>
      </w:r>
      <w:r w:rsidR="00A04DC9" w:rsidRPr="00E40796">
        <w:rPr>
          <w:rFonts w:ascii="楷體-繁" w:eastAsia="楷體-繁" w:hAnsi="楷體-繁"/>
          <w:shd w:val="clear" w:color="auto" w:fill="FFFFFF"/>
        </w:rPr>
        <w:t>The Centers for Medicare &amp; Medicaid Services</w:t>
      </w:r>
      <w:r w:rsidR="00A04DC9" w:rsidRPr="00E40796">
        <w:rPr>
          <w:rFonts w:ascii="楷體-繁" w:eastAsia="楷體-繁" w:hAnsi="楷體-繁" w:hint="eastAsia"/>
          <w:shd w:val="clear" w:color="auto" w:fill="FFFFFF"/>
        </w:rPr>
        <w:t>於</w:t>
      </w:r>
      <w:r w:rsidR="00A04DC9" w:rsidRPr="00E40796">
        <w:rPr>
          <w:rFonts w:ascii="楷體-繁" w:eastAsia="楷體-繁" w:hAnsi="楷體-繁"/>
          <w:shd w:val="clear" w:color="auto" w:fill="FFFFFF"/>
        </w:rPr>
        <w:t>2022</w:t>
      </w:r>
      <w:r w:rsidR="00A04DC9" w:rsidRPr="00E40796">
        <w:rPr>
          <w:rFonts w:ascii="楷體-繁" w:eastAsia="楷體-繁" w:hAnsi="楷體-繁" w:hint="eastAsia"/>
          <w:shd w:val="clear" w:color="auto" w:fill="FFFFFF"/>
        </w:rPr>
        <w:t>年</w:t>
      </w:r>
      <w:r w:rsidR="00A04DC9" w:rsidRPr="00E40796">
        <w:rPr>
          <w:rFonts w:ascii="楷體-繁" w:eastAsia="楷體-繁" w:hAnsi="楷體-繁"/>
          <w:shd w:val="clear" w:color="auto" w:fill="FFFFFF"/>
        </w:rPr>
        <w:t>1</w:t>
      </w:r>
      <w:r w:rsidR="00A04DC9" w:rsidRPr="00E40796">
        <w:rPr>
          <w:rFonts w:ascii="楷體-繁" w:eastAsia="楷體-繁" w:hAnsi="楷體-繁" w:hint="eastAsia"/>
          <w:shd w:val="clear" w:color="auto" w:fill="FFFFFF"/>
        </w:rPr>
        <w:t>月</w:t>
      </w:r>
      <w:r w:rsidR="00A04DC9" w:rsidRPr="00E40796">
        <w:rPr>
          <w:rFonts w:ascii="楷體-繁" w:eastAsia="楷體-繁" w:hAnsi="楷體-繁"/>
          <w:shd w:val="clear" w:color="auto" w:fill="FFFFFF"/>
        </w:rPr>
        <w:t>14</w:t>
      </w:r>
      <w:r w:rsidR="00A04DC9" w:rsidRPr="00E40796">
        <w:rPr>
          <w:rFonts w:ascii="楷體-繁" w:eastAsia="楷體-繁" w:hAnsi="楷體-繁" w:hint="eastAsia"/>
          <w:shd w:val="clear" w:color="auto" w:fill="FFFFFF"/>
        </w:rPr>
        <w:t>日宣布</w:t>
      </w:r>
      <w:r w:rsidR="000A0F73" w:rsidRPr="00E40796">
        <w:rPr>
          <w:rFonts w:ascii="楷體-繁" w:eastAsia="楷體-繁" w:hAnsi="楷體-繁" w:hint="eastAsia"/>
        </w:rPr>
        <w:t>僅給付參</w:t>
      </w:r>
      <w:r w:rsidR="00C63887">
        <w:rPr>
          <w:rFonts w:ascii="楷體-繁" w:eastAsia="楷體-繁" w:hAnsi="楷體-繁" w:hint="eastAsia"/>
        </w:rPr>
        <w:t>加</w:t>
      </w:r>
      <w:r w:rsidR="000A0F73" w:rsidRPr="00E40796">
        <w:rPr>
          <w:rFonts w:ascii="楷體-繁" w:eastAsia="楷體-繁" w:hAnsi="楷體-繁" w:hint="eastAsia"/>
        </w:rPr>
        <w:t>其核准的臨床試驗的病人</w:t>
      </w:r>
      <w:r w:rsidR="00EA306A" w:rsidRPr="00E40796">
        <w:rPr>
          <w:rFonts w:ascii="楷體-繁" w:eastAsia="楷體-繁" w:hAnsi="楷體-繁"/>
        </w:rPr>
        <w:t>。</w:t>
      </w:r>
      <w:r w:rsidR="000A0F73" w:rsidRPr="00E40796">
        <w:rPr>
          <w:rFonts w:ascii="楷體-繁" w:eastAsia="楷體-繁" w:hAnsi="楷體-繁" w:hint="eastAsia"/>
        </w:rPr>
        <w:t>該藥在歐洲</w:t>
      </w:r>
      <w:r w:rsidR="009C746A" w:rsidRPr="00E40796">
        <w:rPr>
          <w:rFonts w:ascii="楷體-繁" w:eastAsia="楷體-繁" w:hAnsi="楷體-繁" w:hint="eastAsia"/>
        </w:rPr>
        <w:t>被拒絕核准</w:t>
      </w:r>
      <w:r w:rsidR="00C63887" w:rsidRPr="00E40796">
        <w:rPr>
          <w:rFonts w:ascii="楷體-繁" w:eastAsia="楷體-繁" w:hAnsi="楷體-繁"/>
        </w:rPr>
        <w:t>。</w:t>
      </w:r>
      <w:r w:rsidR="000A0F73" w:rsidRPr="00E40796">
        <w:rPr>
          <w:rFonts w:ascii="楷體-繁" w:eastAsia="楷體-繁" w:hAnsi="楷體-繁" w:cs="PingFang TC" w:hint="eastAsia"/>
        </w:rPr>
        <w:t>日本</w:t>
      </w:r>
      <w:r w:rsidR="00EF246D" w:rsidRPr="00E40796">
        <w:rPr>
          <w:rFonts w:ascii="楷體-繁" w:eastAsia="楷體-繁" w:hAnsi="楷體-繁" w:cs="PingFang TC" w:hint="eastAsia"/>
        </w:rPr>
        <w:t>厚生省在</w:t>
      </w:r>
      <w:r w:rsidR="00EF246D" w:rsidRPr="00E40796">
        <w:rPr>
          <w:rFonts w:ascii="楷體-繁" w:eastAsia="楷體-繁" w:hAnsi="楷體-繁" w:cs="PingFang TC"/>
        </w:rPr>
        <w:t>2021</w:t>
      </w:r>
      <w:r w:rsidR="00EF246D" w:rsidRPr="00E40796">
        <w:rPr>
          <w:rFonts w:ascii="楷體-繁" w:eastAsia="楷體-繁" w:hAnsi="楷體-繁" w:cs="PingFang TC" w:hint="eastAsia"/>
        </w:rPr>
        <w:t>年</w:t>
      </w:r>
      <w:r w:rsidR="00EF246D" w:rsidRPr="00E40796">
        <w:rPr>
          <w:rFonts w:ascii="楷體-繁" w:eastAsia="楷體-繁" w:hAnsi="楷體-繁" w:cs="PingFang TC"/>
        </w:rPr>
        <w:t>12</w:t>
      </w:r>
      <w:r w:rsidR="00EF246D" w:rsidRPr="00E40796">
        <w:rPr>
          <w:rFonts w:ascii="楷體-繁" w:eastAsia="楷體-繁" w:hAnsi="楷體-繁" w:cs="PingFang TC" w:hint="eastAsia"/>
        </w:rPr>
        <w:t>月</w:t>
      </w:r>
      <w:r w:rsidR="00E40796" w:rsidRPr="00E40796">
        <w:rPr>
          <w:rFonts w:ascii="楷體-繁" w:eastAsia="楷體-繁" w:hAnsi="楷體-繁" w:cs="PingFang TC"/>
        </w:rPr>
        <w:t>22</w:t>
      </w:r>
      <w:r w:rsidR="00E40796" w:rsidRPr="00E40796">
        <w:rPr>
          <w:rFonts w:ascii="楷體-繁" w:eastAsia="楷體-繁" w:hAnsi="楷體-繁" w:cs="PingFang TC" w:hint="eastAsia"/>
        </w:rPr>
        <w:t>日</w:t>
      </w:r>
      <w:r w:rsidR="00573580" w:rsidRPr="00E40796">
        <w:rPr>
          <w:rFonts w:ascii="楷體-繁" w:eastAsia="楷體-繁" w:hAnsi="楷體-繁"/>
          <w:shd w:val="clear" w:color="auto" w:fill="FFFFFF"/>
        </w:rPr>
        <w:t>拒絕</w:t>
      </w:r>
      <w:r w:rsidR="00573580" w:rsidRPr="00E40796">
        <w:rPr>
          <w:rFonts w:ascii="楷體-繁" w:eastAsia="楷體-繁" w:hAnsi="楷體-繁" w:hint="eastAsia"/>
          <w:shd w:val="clear" w:color="auto" w:fill="FFFFFF"/>
        </w:rPr>
        <w:t>核</w:t>
      </w:r>
      <w:r w:rsidR="00573580" w:rsidRPr="00E40796">
        <w:rPr>
          <w:rFonts w:ascii="楷體-繁" w:eastAsia="楷體-繁" w:hAnsi="楷體-繁"/>
          <w:shd w:val="clear" w:color="auto" w:fill="FFFFFF"/>
        </w:rPr>
        <w:t>准，稱需要更多數據判斷其有效性</w:t>
      </w:r>
      <w:r w:rsidR="000A0F73" w:rsidRPr="00E40796">
        <w:rPr>
          <w:rFonts w:ascii="楷體-繁" w:eastAsia="楷體-繁" w:hAnsi="楷體-繁"/>
        </w:rPr>
        <w:t>。</w:t>
      </w:r>
      <w:r w:rsidR="00EA306A" w:rsidRPr="00E40796">
        <w:rPr>
          <w:rFonts w:ascii="楷體-繁" w:eastAsia="楷體-繁" w:hAnsi="楷體-繁" w:hint="eastAsia"/>
        </w:rPr>
        <w:t>）</w:t>
      </w:r>
    </w:p>
    <w:p w14:paraId="0B5B7B49" w14:textId="06DBFF94" w:rsidR="00D269C2" w:rsidRPr="002E3D97" w:rsidRDefault="00AA5B80" w:rsidP="00396B58">
      <w:pPr>
        <w:pStyle w:val="2"/>
        <w:spacing w:beforeLines="50" w:before="180" w:line="0" w:lineRule="atLeast"/>
        <w:ind w:right="278"/>
        <w:jc w:val="both"/>
        <w:rPr>
          <w:rFonts w:ascii="楷體-繁" w:eastAsia="楷體-繁" w:hAnsi="楷體-繁"/>
          <w:b w:val="0"/>
          <w:bCs w:val="0"/>
          <w:sz w:val="24"/>
          <w:szCs w:val="24"/>
        </w:rPr>
      </w:pPr>
      <w:r w:rsidRPr="00F277E5">
        <w:rPr>
          <w:rFonts w:ascii="楷體-繁" w:eastAsia="楷體-繁" w:hAnsi="楷體-繁" w:cs="Arial" w:hint="eastAsia"/>
          <w:b w:val="0"/>
          <w:bCs w:val="0"/>
          <w:sz w:val="24"/>
          <w:szCs w:val="24"/>
        </w:rPr>
        <w:t>(</w:t>
      </w:r>
      <w:r w:rsidR="00394B8A" w:rsidRPr="00F277E5">
        <w:rPr>
          <w:rFonts w:ascii="楷體-繁" w:eastAsia="楷體-繁" w:hAnsi="楷體-繁" w:cs="Arial" w:hint="eastAsia"/>
          <w:b w:val="0"/>
          <w:bCs w:val="0"/>
          <w:sz w:val="24"/>
          <w:szCs w:val="24"/>
        </w:rPr>
        <w:t>資料來源</w:t>
      </w:r>
      <w:r w:rsidR="00394B8A" w:rsidRPr="00F277E5">
        <w:rPr>
          <w:rFonts w:ascii="楷體-繁" w:eastAsia="楷體-繁" w:hAnsi="楷體-繁" w:cs="PingFang TC" w:hint="eastAsia"/>
          <w:b w:val="0"/>
          <w:bCs w:val="0"/>
          <w:sz w:val="24"/>
          <w:szCs w:val="24"/>
        </w:rPr>
        <w:t>：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 xml:space="preserve">Business Wire; IQVIA, 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 xml:space="preserve">The 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 xml:space="preserve">Global 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 xml:space="preserve">Use of 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>Medicine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>s 2022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 xml:space="preserve"> : Outlook to 202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>6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 xml:space="preserve">, 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>Jan</w:t>
      </w:r>
      <w:r w:rsidR="00B21078">
        <w:rPr>
          <w:rFonts w:ascii="楷體-繁" w:eastAsia="楷體-繁" w:hAnsi="楷體-繁"/>
          <w:b w:val="0"/>
          <w:bCs w:val="0"/>
          <w:sz w:val="24"/>
          <w:szCs w:val="24"/>
        </w:rPr>
        <w:t>uary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 xml:space="preserve"> </w:t>
      </w:r>
      <w:r w:rsidR="00F277E5" w:rsidRPr="00F277E5">
        <w:rPr>
          <w:rFonts w:ascii="楷體-繁" w:eastAsia="楷體-繁" w:hAnsi="楷體-繁"/>
          <w:b w:val="0"/>
          <w:bCs w:val="0"/>
          <w:sz w:val="24"/>
          <w:szCs w:val="24"/>
        </w:rPr>
        <w:t>202</w:t>
      </w:r>
      <w:r w:rsidR="002E3D97">
        <w:rPr>
          <w:rFonts w:ascii="楷體-繁" w:eastAsia="楷體-繁" w:hAnsi="楷體-繁"/>
          <w:b w:val="0"/>
          <w:bCs w:val="0"/>
          <w:sz w:val="24"/>
          <w:szCs w:val="24"/>
        </w:rPr>
        <w:t>2</w:t>
      </w:r>
      <w:r w:rsidRPr="00F277E5">
        <w:rPr>
          <w:rFonts w:ascii="楷體-繁" w:eastAsia="楷體-繁" w:hAnsi="楷體-繁" w:cs="Arial" w:hint="eastAsia"/>
          <w:b w:val="0"/>
          <w:bCs w:val="0"/>
          <w:sz w:val="24"/>
          <w:szCs w:val="24"/>
        </w:rPr>
        <w:t>)</w:t>
      </w:r>
    </w:p>
    <w:sectPr w:rsidR="00D269C2" w:rsidRPr="002E3D97" w:rsidSect="00D81E6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E76FF" w14:textId="77777777" w:rsidR="001C66D0" w:rsidRDefault="001C66D0" w:rsidP="00D432A3">
      <w:pPr>
        <w:spacing w:before="120"/>
      </w:pPr>
      <w:r>
        <w:separator/>
      </w:r>
    </w:p>
  </w:endnote>
  <w:endnote w:type="continuationSeparator" w:id="0">
    <w:p w14:paraId="7A3F7E4A" w14:textId="77777777" w:rsidR="001C66D0" w:rsidRDefault="001C66D0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Songti TC">
    <w:altName w:val="微軟正黑體"/>
    <w:panose1 w:val="02010600040101010101"/>
    <w:charset w:val="88"/>
    <w:family w:val="auto"/>
    <w:pitch w:val="variable"/>
    <w:sig w:usb0="00000287" w:usb1="080F0000" w:usb2="00000010" w:usb3="00000000" w:csb0="0014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ingFang TC">
    <w:altName w:val="微軟正黑體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E239E" w14:textId="77777777" w:rsidR="001C66D0" w:rsidRDefault="001C66D0" w:rsidP="00D432A3">
      <w:pPr>
        <w:spacing w:before="120"/>
      </w:pPr>
      <w:r>
        <w:separator/>
      </w:r>
    </w:p>
  </w:footnote>
  <w:footnote w:type="continuationSeparator" w:id="0">
    <w:p w14:paraId="51290FE5" w14:textId="77777777" w:rsidR="001C66D0" w:rsidRDefault="001C66D0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02852"/>
    <w:multiLevelType w:val="multilevel"/>
    <w:tmpl w:val="388A8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1C60AC5"/>
    <w:multiLevelType w:val="multilevel"/>
    <w:tmpl w:val="963C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 w15:restartNumberingAfterBreak="0">
    <w:nsid w:val="170A7D1E"/>
    <w:multiLevelType w:val="multilevel"/>
    <w:tmpl w:val="8D9AD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AD22A30"/>
    <w:multiLevelType w:val="multilevel"/>
    <w:tmpl w:val="3764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415C55"/>
    <w:multiLevelType w:val="multilevel"/>
    <w:tmpl w:val="C9B81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A4288"/>
    <w:multiLevelType w:val="multilevel"/>
    <w:tmpl w:val="24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BF1EB5"/>
    <w:multiLevelType w:val="hybridMultilevel"/>
    <w:tmpl w:val="77C06676"/>
    <w:lvl w:ilvl="0" w:tplc="B8AE91CA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694F36"/>
    <w:multiLevelType w:val="hybridMultilevel"/>
    <w:tmpl w:val="2BD25C26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37AA3614"/>
    <w:multiLevelType w:val="multilevel"/>
    <w:tmpl w:val="9B50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8EA3118"/>
    <w:multiLevelType w:val="multilevel"/>
    <w:tmpl w:val="3E162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E6E33E3"/>
    <w:multiLevelType w:val="multilevel"/>
    <w:tmpl w:val="73A0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BB381D"/>
    <w:multiLevelType w:val="hybridMultilevel"/>
    <w:tmpl w:val="D8F4CB76"/>
    <w:lvl w:ilvl="0" w:tplc="CCD2270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5E4B6C"/>
    <w:multiLevelType w:val="multilevel"/>
    <w:tmpl w:val="6890C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DB0298"/>
    <w:multiLevelType w:val="multilevel"/>
    <w:tmpl w:val="4FAE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F90844"/>
    <w:multiLevelType w:val="multilevel"/>
    <w:tmpl w:val="A3DC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70759B"/>
    <w:multiLevelType w:val="multilevel"/>
    <w:tmpl w:val="1A2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797742"/>
    <w:multiLevelType w:val="multilevel"/>
    <w:tmpl w:val="F9D4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C706FE"/>
    <w:multiLevelType w:val="hybridMultilevel"/>
    <w:tmpl w:val="FD30A580"/>
    <w:lvl w:ilvl="0" w:tplc="DD861732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6ADA0677"/>
    <w:multiLevelType w:val="multilevel"/>
    <w:tmpl w:val="4518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2E15A6"/>
    <w:multiLevelType w:val="hybridMultilevel"/>
    <w:tmpl w:val="8BB0515C"/>
    <w:lvl w:ilvl="0" w:tplc="6770A3CA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0A2571B"/>
    <w:multiLevelType w:val="multilevel"/>
    <w:tmpl w:val="CC0A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B51B83"/>
    <w:multiLevelType w:val="multilevel"/>
    <w:tmpl w:val="576A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9B32027"/>
    <w:multiLevelType w:val="multilevel"/>
    <w:tmpl w:val="5850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1A6F72"/>
    <w:multiLevelType w:val="multilevel"/>
    <w:tmpl w:val="6A80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"/>
  </w:num>
  <w:num w:numId="4">
    <w:abstractNumId w:val="22"/>
  </w:num>
  <w:num w:numId="5">
    <w:abstractNumId w:val="11"/>
  </w:num>
  <w:num w:numId="6">
    <w:abstractNumId w:val="42"/>
  </w:num>
  <w:num w:numId="7">
    <w:abstractNumId w:val="23"/>
  </w:num>
  <w:num w:numId="8">
    <w:abstractNumId w:val="0"/>
  </w:num>
  <w:num w:numId="9">
    <w:abstractNumId w:val="3"/>
  </w:num>
  <w:num w:numId="10">
    <w:abstractNumId w:val="14"/>
  </w:num>
  <w:num w:numId="11">
    <w:abstractNumId w:val="2"/>
  </w:num>
  <w:num w:numId="12">
    <w:abstractNumId w:val="32"/>
  </w:num>
  <w:num w:numId="13">
    <w:abstractNumId w:val="16"/>
  </w:num>
  <w:num w:numId="14">
    <w:abstractNumId w:val="30"/>
  </w:num>
  <w:num w:numId="15">
    <w:abstractNumId w:val="24"/>
  </w:num>
  <w:num w:numId="16">
    <w:abstractNumId w:val="38"/>
  </w:num>
  <w:num w:numId="17">
    <w:abstractNumId w:val="39"/>
  </w:num>
  <w:num w:numId="18">
    <w:abstractNumId w:val="6"/>
  </w:num>
  <w:num w:numId="19">
    <w:abstractNumId w:val="29"/>
  </w:num>
  <w:num w:numId="20">
    <w:abstractNumId w:val="12"/>
  </w:num>
  <w:num w:numId="21">
    <w:abstractNumId w:val="26"/>
  </w:num>
  <w:num w:numId="22">
    <w:abstractNumId w:val="28"/>
  </w:num>
  <w:num w:numId="23">
    <w:abstractNumId w:val="40"/>
  </w:num>
  <w:num w:numId="24">
    <w:abstractNumId w:val="25"/>
  </w:num>
  <w:num w:numId="25">
    <w:abstractNumId w:val="33"/>
  </w:num>
  <w:num w:numId="26">
    <w:abstractNumId w:val="17"/>
  </w:num>
  <w:num w:numId="27">
    <w:abstractNumId w:val="34"/>
  </w:num>
  <w:num w:numId="28">
    <w:abstractNumId w:val="21"/>
  </w:num>
  <w:num w:numId="29">
    <w:abstractNumId w:val="7"/>
  </w:num>
  <w:num w:numId="30">
    <w:abstractNumId w:val="5"/>
  </w:num>
  <w:num w:numId="31">
    <w:abstractNumId w:val="4"/>
  </w:num>
  <w:num w:numId="32">
    <w:abstractNumId w:val="8"/>
  </w:num>
  <w:num w:numId="33">
    <w:abstractNumId w:val="18"/>
  </w:num>
  <w:num w:numId="34">
    <w:abstractNumId w:val="36"/>
  </w:num>
  <w:num w:numId="35">
    <w:abstractNumId w:val="19"/>
  </w:num>
  <w:num w:numId="36">
    <w:abstractNumId w:val="37"/>
  </w:num>
  <w:num w:numId="37">
    <w:abstractNumId w:val="27"/>
  </w:num>
  <w:num w:numId="38">
    <w:abstractNumId w:val="41"/>
  </w:num>
  <w:num w:numId="39">
    <w:abstractNumId w:val="9"/>
  </w:num>
  <w:num w:numId="40">
    <w:abstractNumId w:val="31"/>
  </w:num>
  <w:num w:numId="41">
    <w:abstractNumId w:val="20"/>
  </w:num>
  <w:num w:numId="42">
    <w:abstractNumId w:val="1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B8E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BD3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E80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B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4DF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A82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DF2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3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BCA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219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0F73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0F"/>
    <w:rsid w:val="000A241D"/>
    <w:rsid w:val="000A2434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A09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A77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872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11B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C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4E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5D8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6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765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DC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49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447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B9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B8C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35E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DF9"/>
    <w:rsid w:val="00133E1F"/>
    <w:rsid w:val="00133F4A"/>
    <w:rsid w:val="00134078"/>
    <w:rsid w:val="001341E1"/>
    <w:rsid w:val="00134283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0D2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082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9B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A4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17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4A6"/>
    <w:rsid w:val="00190542"/>
    <w:rsid w:val="001905C2"/>
    <w:rsid w:val="001905C9"/>
    <w:rsid w:val="001906E4"/>
    <w:rsid w:val="00190CC5"/>
    <w:rsid w:val="00190DFD"/>
    <w:rsid w:val="00190E0A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01C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27E"/>
    <w:rsid w:val="001C6389"/>
    <w:rsid w:val="001C64BF"/>
    <w:rsid w:val="001C66D0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53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1BB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75F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B5A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3E9"/>
    <w:rsid w:val="001F56E8"/>
    <w:rsid w:val="001F5816"/>
    <w:rsid w:val="001F5854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5F7A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6D8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0F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AB1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6DB8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CD6"/>
    <w:rsid w:val="00246D5B"/>
    <w:rsid w:val="00246DF5"/>
    <w:rsid w:val="00246EF0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B4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170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5FA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1F4C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764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5D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6F02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65B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97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41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BB8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1EA2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2E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94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52C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DF7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B58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C7A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AA9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3DB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368"/>
    <w:rsid w:val="003D451B"/>
    <w:rsid w:val="003D463A"/>
    <w:rsid w:val="003D4728"/>
    <w:rsid w:val="003D49F4"/>
    <w:rsid w:val="003D49F5"/>
    <w:rsid w:val="003D4FEF"/>
    <w:rsid w:val="003D5167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ABE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0B5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4DDE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C7B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21B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CEC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EFE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72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59F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D29"/>
    <w:rsid w:val="004B4E7A"/>
    <w:rsid w:val="004B4EEA"/>
    <w:rsid w:val="004B4F32"/>
    <w:rsid w:val="004B53F0"/>
    <w:rsid w:val="004B5479"/>
    <w:rsid w:val="004B57A3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647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01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98"/>
    <w:rsid w:val="004E1FE4"/>
    <w:rsid w:val="004E222D"/>
    <w:rsid w:val="004E2297"/>
    <w:rsid w:val="004E25C3"/>
    <w:rsid w:val="004E27F4"/>
    <w:rsid w:val="004E2979"/>
    <w:rsid w:val="004E2AD6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53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6FD"/>
    <w:rsid w:val="004E67D9"/>
    <w:rsid w:val="004E69FF"/>
    <w:rsid w:val="004E6A0E"/>
    <w:rsid w:val="004E6A9B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4F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BD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4A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32F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36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21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0B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1B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4A3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29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6EA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6EC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4C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580"/>
    <w:rsid w:val="0057386B"/>
    <w:rsid w:val="005738D3"/>
    <w:rsid w:val="005739B8"/>
    <w:rsid w:val="005739FD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4C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195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8EA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1C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C9B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4D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0A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74C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21C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757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DA1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0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207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91E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A3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8BB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091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CB3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328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5E"/>
    <w:rsid w:val="006678F0"/>
    <w:rsid w:val="00667911"/>
    <w:rsid w:val="00667969"/>
    <w:rsid w:val="006679F5"/>
    <w:rsid w:val="00667A87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3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5E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6E9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0F16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E27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9E4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5CE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D82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7D3"/>
    <w:rsid w:val="006E388D"/>
    <w:rsid w:val="006E3A88"/>
    <w:rsid w:val="006E3A89"/>
    <w:rsid w:val="006E3B30"/>
    <w:rsid w:val="006E3CD6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172"/>
    <w:rsid w:val="006F6437"/>
    <w:rsid w:val="006F66AA"/>
    <w:rsid w:val="006F6A60"/>
    <w:rsid w:val="006F6A65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218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8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1C0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A1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74D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111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50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B97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4F86"/>
    <w:rsid w:val="00775073"/>
    <w:rsid w:val="007751DD"/>
    <w:rsid w:val="007753BD"/>
    <w:rsid w:val="00775477"/>
    <w:rsid w:val="00775525"/>
    <w:rsid w:val="00775569"/>
    <w:rsid w:val="00775690"/>
    <w:rsid w:val="0077569E"/>
    <w:rsid w:val="007758FE"/>
    <w:rsid w:val="00775A51"/>
    <w:rsid w:val="00775AD8"/>
    <w:rsid w:val="00775B94"/>
    <w:rsid w:val="00775D2D"/>
    <w:rsid w:val="00775E2C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AAE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84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EBE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31F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7B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2C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53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2ED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66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190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03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63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A1A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73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1D4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15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3FCE"/>
    <w:rsid w:val="0083403D"/>
    <w:rsid w:val="00834114"/>
    <w:rsid w:val="00834239"/>
    <w:rsid w:val="008342A2"/>
    <w:rsid w:val="008342BB"/>
    <w:rsid w:val="00834576"/>
    <w:rsid w:val="0083486D"/>
    <w:rsid w:val="0083486F"/>
    <w:rsid w:val="008349C9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A84"/>
    <w:rsid w:val="00837CFD"/>
    <w:rsid w:val="00837D19"/>
    <w:rsid w:val="00837D26"/>
    <w:rsid w:val="00837E6B"/>
    <w:rsid w:val="00837EDE"/>
    <w:rsid w:val="0084000D"/>
    <w:rsid w:val="00840159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98C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62F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33A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3F30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1B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33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0F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40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627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A88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28"/>
    <w:rsid w:val="00915270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1A9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A8C"/>
    <w:rsid w:val="00945B0F"/>
    <w:rsid w:val="00945D85"/>
    <w:rsid w:val="00945E54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C89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AAF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914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1FF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C1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97"/>
    <w:rsid w:val="00984FA6"/>
    <w:rsid w:val="00985029"/>
    <w:rsid w:val="009852A3"/>
    <w:rsid w:val="009852ED"/>
    <w:rsid w:val="00985354"/>
    <w:rsid w:val="00985760"/>
    <w:rsid w:val="0098579E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A"/>
    <w:rsid w:val="009978BE"/>
    <w:rsid w:val="00997ADE"/>
    <w:rsid w:val="00997B4C"/>
    <w:rsid w:val="00997D0E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444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46A"/>
    <w:rsid w:val="009C757E"/>
    <w:rsid w:val="009C758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4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67E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B4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0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1A7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DC9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95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80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3BD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195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5E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0E5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32E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02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3C1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29C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0C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867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0E1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4DE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74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45E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C95"/>
    <w:rsid w:val="00AF0F8B"/>
    <w:rsid w:val="00AF0FDA"/>
    <w:rsid w:val="00AF1312"/>
    <w:rsid w:val="00AF1366"/>
    <w:rsid w:val="00AF1425"/>
    <w:rsid w:val="00AF15A4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60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09D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877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C5C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7B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078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DE4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74A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AF5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01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3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62E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733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3C8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617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3B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5E9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C60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9EF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5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4ECF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B6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0ED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AEA"/>
    <w:rsid w:val="00C12C1D"/>
    <w:rsid w:val="00C12CBD"/>
    <w:rsid w:val="00C12CC2"/>
    <w:rsid w:val="00C13042"/>
    <w:rsid w:val="00C1333D"/>
    <w:rsid w:val="00C133BE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0EB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EF9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3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245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0D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BDB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88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6F87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27E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3B7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2AB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17F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1E5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9D7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011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96E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5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084"/>
    <w:rsid w:val="00D0046D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8BE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EB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28"/>
    <w:rsid w:val="00D26469"/>
    <w:rsid w:val="00D26726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35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C58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8CA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79A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5F9A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94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48C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07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9DB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28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3E1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A7F82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05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16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89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46"/>
    <w:rsid w:val="00E006F0"/>
    <w:rsid w:val="00E00788"/>
    <w:rsid w:val="00E008F5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6F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148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4F3"/>
    <w:rsid w:val="00E4061E"/>
    <w:rsid w:val="00E40796"/>
    <w:rsid w:val="00E408F2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85E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6D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86"/>
    <w:rsid w:val="00E52DA7"/>
    <w:rsid w:val="00E52F36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27C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A3E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0F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943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AC7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BF8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DFC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06A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74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71A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21D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0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B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78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46D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1A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BC8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0FF3"/>
    <w:rsid w:val="00F111EE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1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20"/>
    <w:rsid w:val="00F275BE"/>
    <w:rsid w:val="00F27607"/>
    <w:rsid w:val="00F2773D"/>
    <w:rsid w:val="00F277E5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892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486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5E1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C91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AEB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A62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2D2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8F9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4EB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4F9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1C8"/>
    <w:rsid w:val="00FC122D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04B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58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04DC9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figure-caption">
    <w:name w:val="figure-caption"/>
    <w:basedOn w:val="a0"/>
    <w:rsid w:val="004D1647"/>
  </w:style>
  <w:style w:type="paragraph" w:customStyle="1" w:styleId="ordinary-output">
    <w:name w:val="ordinary-output"/>
    <w:basedOn w:val="a"/>
    <w:rsid w:val="00B743C8"/>
    <w:pPr>
      <w:spacing w:before="100" w:beforeAutospacing="1" w:after="100" w:afterAutospacing="1"/>
    </w:pPr>
  </w:style>
  <w:style w:type="paragraph" w:customStyle="1" w:styleId="writer">
    <w:name w:val="writer"/>
    <w:basedOn w:val="a"/>
    <w:rsid w:val="005A061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9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0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6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1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5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7450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20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9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76365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83344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7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5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7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8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1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833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3484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167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01">
                  <w:blockQuote w:val="1"/>
                  <w:marLeft w:val="0"/>
                  <w:marRight w:val="225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7AA52A"/>
                  </w:divBdr>
                </w:div>
              </w:divsChild>
            </w:div>
          </w:divsChild>
        </w:div>
      </w:divsChild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88</cp:revision>
  <cp:lastPrinted>2022-01-15T03:35:00Z</cp:lastPrinted>
  <dcterms:created xsi:type="dcterms:W3CDTF">2022-01-12T11:29:00Z</dcterms:created>
  <dcterms:modified xsi:type="dcterms:W3CDTF">2022-01-15T13:48:00Z</dcterms:modified>
</cp:coreProperties>
</file>