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104405ED" w:rsidR="00345C13" w:rsidRPr="00101018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 w:hint="eastAsia"/>
          <w:color w:val="000000" w:themeColor="text1"/>
        </w:rPr>
        <w:t>20</w:t>
      </w:r>
      <w:r w:rsidR="00CE796E" w:rsidRPr="00101018">
        <w:rPr>
          <w:rFonts w:ascii="楷體-繁" w:eastAsia="楷體-繁" w:hAnsi="楷體-繁"/>
          <w:color w:val="000000" w:themeColor="text1"/>
        </w:rPr>
        <w:t>2</w:t>
      </w:r>
      <w:r w:rsidR="00E52D86" w:rsidRPr="00101018">
        <w:rPr>
          <w:rFonts w:ascii="楷體-繁" w:eastAsia="楷體-繁" w:hAnsi="楷體-繁"/>
          <w:color w:val="000000" w:themeColor="text1"/>
        </w:rPr>
        <w:t>1</w:t>
      </w:r>
      <w:r w:rsidR="00CE796E" w:rsidRPr="00101018">
        <w:rPr>
          <w:rFonts w:ascii="楷體-繁" w:eastAsia="楷體-繁" w:hAnsi="楷體-繁"/>
          <w:color w:val="000000" w:themeColor="text1"/>
        </w:rPr>
        <w:t>-</w:t>
      </w:r>
      <w:r w:rsidR="00E52D86" w:rsidRPr="00101018">
        <w:rPr>
          <w:rFonts w:ascii="楷體-繁" w:eastAsia="楷體-繁" w:hAnsi="楷體-繁"/>
          <w:color w:val="000000" w:themeColor="text1"/>
        </w:rPr>
        <w:t>0</w:t>
      </w:r>
      <w:r w:rsidR="0062464E" w:rsidRPr="00101018">
        <w:rPr>
          <w:rFonts w:ascii="楷體-繁" w:eastAsia="楷體-繁" w:hAnsi="楷體-繁"/>
          <w:color w:val="000000" w:themeColor="text1"/>
        </w:rPr>
        <w:t>6</w:t>
      </w:r>
      <w:r w:rsidR="00C649C7" w:rsidRPr="00101018">
        <w:rPr>
          <w:rFonts w:ascii="楷體-繁" w:eastAsia="楷體-繁" w:hAnsi="楷體-繁" w:hint="eastAsia"/>
          <w:color w:val="000000" w:themeColor="text1"/>
        </w:rPr>
        <w:t>-</w:t>
      </w:r>
      <w:r w:rsidR="0062464E" w:rsidRPr="00101018">
        <w:rPr>
          <w:rFonts w:ascii="楷體-繁" w:eastAsia="楷體-繁" w:hAnsi="楷體-繁"/>
          <w:color w:val="000000" w:themeColor="text1"/>
        </w:rPr>
        <w:t>07</w:t>
      </w:r>
    </w:p>
    <w:p w14:paraId="13CB33E9" w14:textId="77777777" w:rsidR="000D6011" w:rsidRPr="00101018" w:rsidRDefault="000D6011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 w:hint="eastAsia"/>
          <w:b/>
          <w:color w:val="000000" w:themeColor="text1"/>
        </w:rPr>
        <w:t xml:space="preserve">陳如月 </w:t>
      </w:r>
    </w:p>
    <w:p w14:paraId="3AE055A2" w14:textId="4EDFF27B" w:rsidR="0054190B" w:rsidRPr="00101018" w:rsidRDefault="00002B3E" w:rsidP="002359CB">
      <w:pPr>
        <w:spacing w:beforeLines="100" w:before="360" w:line="0" w:lineRule="atLeast"/>
        <w:jc w:val="both"/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</w:pPr>
      <w:r w:rsidRPr="00101018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日本</w:t>
      </w:r>
      <w:r w:rsidR="00B54626" w:rsidRPr="00101018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醫</w:t>
      </w:r>
      <w:r w:rsidR="00AD1B07" w:rsidRPr="00101018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師理想</w:t>
      </w:r>
      <w:r w:rsidR="005F6EA0" w:rsidRPr="00101018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的</w:t>
      </w:r>
      <w:r w:rsidR="00B54626" w:rsidRPr="00101018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新藥</w:t>
      </w:r>
      <w:r w:rsidR="00AD1B07" w:rsidRPr="00101018">
        <w:rPr>
          <w:rFonts w:ascii="楷體-繁" w:eastAsia="楷體-繁" w:hAnsi="楷體-繁" w:hint="eastAsia"/>
          <w:b/>
          <w:bCs/>
          <w:color w:val="000000" w:themeColor="text1"/>
          <w:sz w:val="32"/>
          <w:szCs w:val="32"/>
        </w:rPr>
        <w:t>資訊</w:t>
      </w:r>
      <w:r w:rsidR="00B54626" w:rsidRPr="00101018">
        <w:rPr>
          <w:rFonts w:ascii="楷體-繁" w:eastAsia="楷體-繁" w:hAnsi="楷體-繁"/>
          <w:b/>
          <w:bCs/>
          <w:color w:val="000000" w:themeColor="text1"/>
          <w:sz w:val="32"/>
          <w:szCs w:val="32"/>
        </w:rPr>
        <w:t>來源</w:t>
      </w:r>
    </w:p>
    <w:p w14:paraId="535046A5" w14:textId="5AFB8B27" w:rsidR="008D1F69" w:rsidRPr="00101018" w:rsidRDefault="008D1F69" w:rsidP="00C43724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 w:hint="eastAsia"/>
          <w:color w:val="000000" w:themeColor="text1"/>
        </w:rPr>
        <w:t>日本醫師理想</w:t>
      </w:r>
      <w:r w:rsidRPr="00101018">
        <w:rPr>
          <w:rFonts w:ascii="楷體-繁" w:eastAsia="楷體-繁" w:hAnsi="楷體-繁"/>
          <w:color w:val="000000" w:themeColor="text1"/>
        </w:rPr>
        <w:t>的新藥</w:t>
      </w:r>
      <w:r w:rsidRPr="00101018">
        <w:rPr>
          <w:rFonts w:ascii="楷體-繁" w:eastAsia="楷體-繁" w:hAnsi="楷體-繁" w:hint="eastAsia"/>
          <w:color w:val="000000" w:themeColor="text1"/>
        </w:rPr>
        <w:t>資訊</w:t>
      </w:r>
      <w:r w:rsidRPr="00101018">
        <w:rPr>
          <w:rFonts w:ascii="楷體-繁" w:eastAsia="楷體-繁" w:hAnsi="楷體-繁"/>
          <w:color w:val="000000" w:themeColor="text1"/>
        </w:rPr>
        <w:t>來源</w:t>
      </w: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AMTUL分析的所有階段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數</w:t>
      </w:r>
      <w:r w:rsidRPr="00101018">
        <w:rPr>
          <w:rFonts w:ascii="楷體-繁" w:eastAsia="楷體-繁" w:hAnsi="楷體-繁" w:hint="eastAsia"/>
          <w:color w:val="000000" w:themeColor="text1"/>
        </w:rPr>
        <w:t>位</w:t>
      </w:r>
      <w:r w:rsidRPr="00101018">
        <w:rPr>
          <w:rFonts w:ascii="楷體-繁" w:eastAsia="楷體-繁" w:hAnsi="楷體-繁"/>
          <w:color w:val="000000" w:themeColor="text1"/>
        </w:rPr>
        <w:t>都</w:t>
      </w:r>
      <w:r w:rsidR="00C64FC2" w:rsidRPr="00101018">
        <w:rPr>
          <w:rFonts w:ascii="楷體-繁" w:eastAsia="楷體-繁" w:hAnsi="楷體-繁" w:hint="eastAsia"/>
          <w:color w:val="000000" w:themeColor="text1"/>
        </w:rPr>
        <w:t>居首位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MR第二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，和</w:t>
      </w:r>
      <w:r w:rsidRPr="00101018">
        <w:rPr>
          <w:rFonts w:ascii="楷體-繁" w:eastAsia="楷體-繁" w:hAnsi="楷體-繁"/>
          <w:color w:val="000000" w:themeColor="text1"/>
        </w:rPr>
        <w:t>5年前</w:t>
      </w:r>
      <w:r w:rsidRPr="00101018">
        <w:rPr>
          <w:rFonts w:ascii="楷體-繁" w:eastAsia="楷體-繁" w:hAnsi="楷體-繁" w:hint="eastAsia"/>
          <w:color w:val="000000" w:themeColor="text1"/>
        </w:rPr>
        <w:t>的</w:t>
      </w:r>
      <w:r w:rsidRPr="00101018">
        <w:rPr>
          <w:rFonts w:ascii="楷體-繁" w:eastAsia="楷體-繁" w:hAnsi="楷體-繁"/>
          <w:color w:val="000000" w:themeColor="text1"/>
        </w:rPr>
        <w:t>首位</w:t>
      </w:r>
      <w:r w:rsidRPr="00101018">
        <w:rPr>
          <w:rFonts w:ascii="楷體-繁" w:eastAsia="楷體-繁" w:hAnsi="楷體-繁" w:hint="eastAsia"/>
          <w:color w:val="000000" w:themeColor="text1"/>
        </w:rPr>
        <w:t>互換</w:t>
      </w:r>
      <w:r w:rsidRPr="00101018">
        <w:rPr>
          <w:rFonts w:ascii="楷體-繁" w:eastAsia="楷體-繁" w:hAnsi="楷體-繁"/>
          <w:color w:val="000000" w:themeColor="text1"/>
        </w:rPr>
        <w:t>。</w:t>
      </w:r>
    </w:p>
    <w:p w14:paraId="21B19868" w14:textId="084A397A" w:rsidR="00310D47" w:rsidRPr="00101018" w:rsidRDefault="00D051B5" w:rsidP="00C43724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我們把從讓醫</w:t>
      </w:r>
      <w:r w:rsidRPr="00101018">
        <w:rPr>
          <w:rFonts w:ascii="楷體-繁" w:eastAsia="楷體-繁" w:hAnsi="楷體-繁" w:hint="eastAsia"/>
          <w:color w:val="000000" w:themeColor="text1"/>
        </w:rPr>
        <w:t>師</w:t>
      </w:r>
      <w:r w:rsidRPr="00101018">
        <w:rPr>
          <w:rFonts w:ascii="楷體-繁" w:eastAsia="楷體-繁" w:hAnsi="楷體-繁"/>
          <w:color w:val="000000" w:themeColor="text1"/>
        </w:rPr>
        <w:t>第一次知道新藥到最</w:t>
      </w:r>
      <w:r w:rsidR="00C65891" w:rsidRPr="00101018">
        <w:rPr>
          <w:rFonts w:ascii="楷體-繁" w:eastAsia="楷體-繁" w:hAnsi="楷體-繁" w:hint="eastAsia"/>
          <w:color w:val="000000" w:themeColor="text1"/>
        </w:rPr>
        <w:t>後</w:t>
      </w:r>
      <w:r w:rsidR="00131C8E" w:rsidRPr="00101018">
        <w:rPr>
          <w:rFonts w:ascii="楷體-繁" w:eastAsia="楷體-繁" w:hAnsi="楷體-繁" w:hint="eastAsia"/>
          <w:color w:val="000000" w:themeColor="text1"/>
        </w:rPr>
        <w:t>作為主要藥物處方</w:t>
      </w:r>
      <w:r w:rsidRPr="00101018">
        <w:rPr>
          <w:rFonts w:ascii="楷體-繁" w:eastAsia="楷體-繁" w:hAnsi="楷體-繁"/>
          <w:color w:val="000000" w:themeColor="text1"/>
        </w:rPr>
        <w:t>分為</w:t>
      </w:r>
      <w:r w:rsidR="00AC4284" w:rsidRPr="00101018">
        <w:rPr>
          <w:rFonts w:ascii="楷體-繁" w:eastAsia="楷體-繁" w:hAnsi="楷體-繁" w:hint="eastAsia"/>
          <w:color w:val="000000" w:themeColor="text1"/>
        </w:rPr>
        <w:t>5</w:t>
      </w:r>
      <w:r w:rsidRPr="00101018">
        <w:rPr>
          <w:rFonts w:ascii="楷體-繁" w:eastAsia="楷體-繁" w:hAnsi="楷體-繁"/>
          <w:color w:val="000000" w:themeColor="text1"/>
        </w:rPr>
        <w:t>個階段，並詢問醫</w:t>
      </w:r>
      <w:r w:rsidR="00131C8E" w:rsidRPr="00101018">
        <w:rPr>
          <w:rFonts w:ascii="楷體-繁" w:eastAsia="楷體-繁" w:hAnsi="楷體-繁" w:hint="eastAsia"/>
          <w:color w:val="000000" w:themeColor="text1"/>
        </w:rPr>
        <w:t>師</w:t>
      </w:r>
      <w:r w:rsidR="00C65891"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每個階段理想的</w:t>
      </w:r>
      <w:r w:rsidR="00131C8E" w:rsidRPr="00101018">
        <w:rPr>
          <w:rFonts w:ascii="楷體-繁" w:eastAsia="楷體-繁" w:hAnsi="楷體-繁" w:hint="eastAsia"/>
          <w:color w:val="000000" w:themeColor="text1"/>
        </w:rPr>
        <w:t>資訊</w:t>
      </w:r>
      <w:r w:rsidRPr="00101018">
        <w:rPr>
          <w:rFonts w:ascii="楷體-繁" w:eastAsia="楷體-繁" w:hAnsi="楷體-繁"/>
          <w:color w:val="000000" w:themeColor="text1"/>
        </w:rPr>
        <w:t>獲取渠道（</w:t>
      </w:r>
      <w:r w:rsidR="00131C8E" w:rsidRPr="00101018">
        <w:rPr>
          <w:rFonts w:ascii="楷體-繁" w:eastAsia="楷體-繁" w:hAnsi="楷體-繁" w:hint="eastAsia"/>
          <w:color w:val="000000" w:themeColor="text1"/>
        </w:rPr>
        <w:t>資訊</w:t>
      </w:r>
      <w:r w:rsidRPr="00101018">
        <w:rPr>
          <w:rFonts w:ascii="楷體-繁" w:eastAsia="楷體-繁" w:hAnsi="楷體-繁"/>
          <w:color w:val="000000" w:themeColor="text1"/>
        </w:rPr>
        <w:t>來源）</w:t>
      </w:r>
      <w:r w:rsidR="0052749F" w:rsidRPr="00101018">
        <w:rPr>
          <w:rFonts w:ascii="楷體-繁" w:eastAsia="楷體-繁" w:hAnsi="楷體-繁" w:cs="PingFang TC" w:hint="eastAsia"/>
          <w:color w:val="000000" w:themeColor="text1"/>
        </w:rPr>
        <w:t>，在</w:t>
      </w:r>
      <w:r w:rsidR="00C64FC2" w:rsidRPr="00101018">
        <w:rPr>
          <w:rFonts w:ascii="楷體-繁" w:eastAsia="楷體-繁" w:hAnsi="楷體-繁" w:cs="PingFang TC" w:hint="eastAsia"/>
          <w:color w:val="000000" w:themeColor="text1"/>
        </w:rPr>
        <w:t>所有</w:t>
      </w:r>
      <w:r w:rsidR="0052749F" w:rsidRPr="00101018">
        <w:rPr>
          <w:rFonts w:ascii="楷體-繁" w:eastAsia="楷體-繁" w:hAnsi="楷體-繁" w:cs="PingFang TC" w:hint="eastAsia"/>
          <w:color w:val="000000" w:themeColor="text1"/>
        </w:rPr>
        <w:t>階段中，</w:t>
      </w:r>
      <w:r w:rsidR="0052749F" w:rsidRPr="00101018">
        <w:rPr>
          <w:rFonts w:ascii="楷體-繁" w:eastAsia="楷體-繁" w:hAnsi="楷體-繁"/>
          <w:color w:val="000000" w:themeColor="text1"/>
        </w:rPr>
        <w:t>排名第一的是</w:t>
      </w:r>
      <w:r w:rsidR="0052749F" w:rsidRPr="00101018">
        <w:rPr>
          <w:rFonts w:ascii="楷體-繁" w:eastAsia="楷體-繁" w:hAnsi="楷體-繁" w:hint="eastAsia"/>
          <w:color w:val="000000" w:themeColor="text1"/>
        </w:rPr>
        <w:t>數位</w:t>
      </w:r>
      <w:r w:rsidR="0052749F" w:rsidRPr="00101018">
        <w:rPr>
          <w:rFonts w:ascii="楷體-繁" w:eastAsia="楷體-繁" w:hAnsi="楷體-繁"/>
          <w:color w:val="000000" w:themeColor="text1"/>
        </w:rPr>
        <w:t>渠道（</w:t>
      </w:r>
      <w:r w:rsidR="0052749F" w:rsidRPr="00101018">
        <w:rPr>
          <w:rFonts w:ascii="楷體-繁" w:eastAsia="楷體-繁" w:hAnsi="楷體-繁" w:hint="eastAsia"/>
          <w:color w:val="000000" w:themeColor="text1"/>
        </w:rPr>
        <w:t>互聯網</w:t>
      </w:r>
      <w:r w:rsidR="0052749F" w:rsidRPr="00101018">
        <w:rPr>
          <w:rFonts w:ascii="楷體-繁" w:eastAsia="楷體-繁" w:hAnsi="楷體-繁"/>
          <w:color w:val="000000" w:themeColor="text1"/>
        </w:rPr>
        <w:t>網站、網路</w:t>
      </w:r>
      <w:r w:rsidR="0052749F" w:rsidRPr="00101018">
        <w:rPr>
          <w:rFonts w:ascii="楷體-繁" w:eastAsia="楷體-繁" w:hAnsi="楷體-繁" w:hint="eastAsia"/>
          <w:color w:val="000000" w:themeColor="text1"/>
        </w:rPr>
        <w:t>研討會</w:t>
      </w:r>
      <w:r w:rsidR="0052749F" w:rsidRPr="00101018">
        <w:rPr>
          <w:rFonts w:ascii="楷體-繁" w:eastAsia="楷體-繁" w:hAnsi="楷體-繁"/>
          <w:color w:val="000000" w:themeColor="text1"/>
        </w:rPr>
        <w:t>），其次是MR渠道（</w:t>
      </w:r>
      <w:r w:rsidR="0052749F" w:rsidRPr="00101018">
        <w:rPr>
          <w:rFonts w:ascii="楷體-繁" w:eastAsia="楷體-繁" w:hAnsi="楷體-繁" w:hint="eastAsia"/>
          <w:color w:val="000000" w:themeColor="text1"/>
        </w:rPr>
        <w:t>面</w:t>
      </w:r>
      <w:r w:rsidR="0052749F" w:rsidRPr="00101018">
        <w:rPr>
          <w:rFonts w:ascii="楷體-繁" w:eastAsia="楷體-繁" w:hAnsi="楷體-繁"/>
          <w:color w:val="000000" w:themeColor="text1"/>
        </w:rPr>
        <w:t>訪、電話、電子郵件）。</w:t>
      </w:r>
      <w:r w:rsidR="00F003F6" w:rsidRPr="00101018">
        <w:rPr>
          <w:rFonts w:ascii="楷體-繁" w:eastAsia="楷體-繁" w:hAnsi="楷體-繁"/>
          <w:color w:val="000000" w:themeColor="text1"/>
        </w:rPr>
        <w:t>與5年前的同樣調查相比，第一和第二名的</w:t>
      </w:r>
      <w:r w:rsidR="00F003F6" w:rsidRPr="00101018">
        <w:rPr>
          <w:rFonts w:ascii="楷體-繁" w:eastAsia="楷體-繁" w:hAnsi="楷體-繁" w:hint="eastAsia"/>
          <w:color w:val="000000" w:themeColor="text1"/>
        </w:rPr>
        <w:t>排序互換</w:t>
      </w:r>
      <w:r w:rsidR="00F003F6" w:rsidRPr="00101018">
        <w:rPr>
          <w:rFonts w:ascii="楷體-繁" w:eastAsia="楷體-繁" w:hAnsi="楷體-繁"/>
          <w:color w:val="000000" w:themeColor="text1"/>
        </w:rPr>
        <w:t>了。</w:t>
      </w:r>
      <w:r w:rsidR="0039129A" w:rsidRPr="00101018">
        <w:rPr>
          <w:rFonts w:ascii="楷體-繁" w:eastAsia="楷體-繁" w:hAnsi="楷體-繁"/>
          <w:color w:val="000000" w:themeColor="text1"/>
        </w:rPr>
        <w:t>這一次，</w:t>
      </w:r>
      <w:r w:rsidR="0039129A" w:rsidRPr="00101018">
        <w:rPr>
          <w:rFonts w:ascii="楷體-繁" w:eastAsia="楷體-繁" w:hAnsi="楷體-繁" w:hint="eastAsia"/>
          <w:color w:val="000000" w:themeColor="text1"/>
        </w:rPr>
        <w:t>在</w:t>
      </w:r>
      <w:r w:rsidR="0039129A" w:rsidRPr="00101018">
        <w:rPr>
          <w:rFonts w:ascii="楷體-繁" w:eastAsia="楷體-繁" w:hAnsi="楷體-繁"/>
          <w:color w:val="000000" w:themeColor="text1"/>
        </w:rPr>
        <w:t>GP/HP也</w:t>
      </w:r>
      <w:r w:rsidR="0039129A" w:rsidRPr="00101018">
        <w:rPr>
          <w:rFonts w:ascii="楷體-繁" w:eastAsia="楷體-繁" w:hAnsi="楷體-繁" w:hint="eastAsia"/>
          <w:color w:val="000000" w:themeColor="text1"/>
        </w:rPr>
        <w:t>都</w:t>
      </w:r>
      <w:r w:rsidR="0039129A" w:rsidRPr="00101018">
        <w:rPr>
          <w:rFonts w:ascii="楷體-繁" w:eastAsia="楷體-繁" w:hAnsi="楷體-繁"/>
          <w:color w:val="000000" w:themeColor="text1"/>
        </w:rPr>
        <w:t>證實了類似的結果。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這是</w:t>
      </w:r>
      <w:r w:rsidR="001D15F9" w:rsidRPr="00101018">
        <w:rPr>
          <w:rFonts w:ascii="楷體-繁" w:eastAsia="楷體-繁" w:hAnsi="楷體-繁" w:hint="eastAsia"/>
          <w:color w:val="000000" w:themeColor="text1"/>
        </w:rPr>
        <w:t>日本的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藥品市場行銷支援公司</w:t>
      </w:r>
      <w:r w:rsidR="00310D47" w:rsidRPr="00101018">
        <w:rPr>
          <w:rFonts w:ascii="楷體-繁" w:eastAsia="楷體-繁" w:hAnsi="楷體-繁"/>
          <w:color w:val="000000" w:themeColor="text1"/>
          <w:spacing w:val="10"/>
        </w:rPr>
        <w:t>Medical Collective Intelligence Co., Ltd.</w:t>
      </w:r>
      <w:r w:rsidR="00310D47" w:rsidRPr="00101018">
        <w:rPr>
          <w:rFonts w:ascii="楷體-繁" w:eastAsia="楷體-繁" w:hAnsi="楷體-繁"/>
          <w:color w:val="000000" w:themeColor="text1"/>
        </w:rPr>
        <w:t>（以下簡稱MCI）於2021年2月實施的以約5000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位</w:t>
      </w:r>
      <w:r w:rsidR="00310D47" w:rsidRPr="00101018">
        <w:rPr>
          <w:rFonts w:ascii="楷體-繁" w:eastAsia="楷體-繁" w:hAnsi="楷體-繁"/>
          <w:color w:val="000000" w:themeColor="text1"/>
        </w:rPr>
        <w:t>醫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師</w:t>
      </w:r>
      <w:r w:rsidR="00310D47" w:rsidRPr="00101018">
        <w:rPr>
          <w:rFonts w:ascii="楷體-繁" w:eastAsia="楷體-繁" w:hAnsi="楷體-繁"/>
          <w:color w:val="000000" w:themeColor="text1"/>
        </w:rPr>
        <w:t>為對象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進行</w:t>
      </w:r>
      <w:r w:rsidR="00310D47" w:rsidRPr="00101018">
        <w:rPr>
          <w:rFonts w:ascii="楷體-繁" w:eastAsia="楷體-繁" w:hAnsi="楷體-繁"/>
          <w:color w:val="000000" w:themeColor="text1"/>
        </w:rPr>
        <w:t>的意識調查結果，</w:t>
      </w:r>
      <w:r w:rsidR="00310D47" w:rsidRPr="00101018">
        <w:rPr>
          <w:rFonts w:ascii="楷體-繁" w:eastAsia="楷體-繁" w:hAnsi="楷體-繁" w:hint="eastAsia"/>
          <w:color w:val="000000" w:themeColor="text1"/>
        </w:rPr>
        <w:t>刊登</w:t>
      </w:r>
      <w:r w:rsidR="00310D47" w:rsidRPr="00101018">
        <w:rPr>
          <w:rFonts w:ascii="楷體-繁" w:eastAsia="楷體-繁" w:hAnsi="楷體-繁"/>
          <w:color w:val="000000" w:themeColor="text1"/>
        </w:rPr>
        <w:t>在《</w:t>
      </w:r>
      <w:r w:rsidR="00C65891" w:rsidRPr="00101018">
        <w:rPr>
          <w:rFonts w:ascii="楷體-繁" w:eastAsia="楷體-繁" w:hAnsi="楷體-繁"/>
          <w:color w:val="000000" w:themeColor="text1"/>
        </w:rPr>
        <w:t>醫</w:t>
      </w:r>
      <w:r w:rsidR="00C65891" w:rsidRPr="00101018">
        <w:rPr>
          <w:rFonts w:ascii="楷體-繁" w:eastAsia="楷體-繁" w:hAnsi="楷體-繁" w:hint="eastAsia"/>
          <w:color w:val="000000" w:themeColor="text1"/>
        </w:rPr>
        <w:t>師</w:t>
      </w:r>
      <w:r w:rsidR="00C65891" w:rsidRPr="00101018">
        <w:rPr>
          <w:rFonts w:ascii="楷體-繁" w:eastAsia="楷體-繁" w:hAnsi="楷體-繁"/>
          <w:color w:val="000000" w:themeColor="text1"/>
        </w:rPr>
        <w:t>版多媒體白皮書</w:t>
      </w:r>
      <w:r w:rsidR="00310D47" w:rsidRPr="00101018">
        <w:rPr>
          <w:rFonts w:ascii="楷體-繁" w:eastAsia="楷體-繁" w:hAnsi="楷體-繁"/>
          <w:color w:val="000000" w:themeColor="text1"/>
        </w:rPr>
        <w:t>2021年春季</w:t>
      </w:r>
      <w:r w:rsidR="00C65891" w:rsidRPr="00101018">
        <w:rPr>
          <w:rFonts w:ascii="楷體-繁" w:eastAsia="楷體-繁" w:hAnsi="楷體-繁" w:hint="eastAsia"/>
          <w:color w:val="000000" w:themeColor="text1"/>
        </w:rPr>
        <w:t>號</w:t>
      </w:r>
      <w:r w:rsidR="00310D47" w:rsidRPr="00101018">
        <w:rPr>
          <w:rFonts w:ascii="楷體-繁" w:eastAsia="楷體-繁" w:hAnsi="楷體-繁"/>
          <w:color w:val="000000" w:themeColor="text1"/>
        </w:rPr>
        <w:t>》。</w:t>
      </w:r>
    </w:p>
    <w:p w14:paraId="66349AED" w14:textId="4EC74657" w:rsidR="0009285A" w:rsidRPr="00101018" w:rsidRDefault="0009285A" w:rsidP="00812218">
      <w:pPr>
        <w:widowControl w:val="0"/>
        <w:autoSpaceDE w:val="0"/>
        <w:autoSpaceDN w:val="0"/>
        <w:adjustRightInd w:val="0"/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101018">
        <w:rPr>
          <w:rStyle w:val="a5"/>
          <w:rFonts w:ascii="楷體-繁" w:eastAsia="楷體-繁" w:hAnsi="楷體-繁"/>
          <w:color w:val="000000" w:themeColor="text1"/>
        </w:rPr>
        <w:t>◎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與處方無關的實際情況</w:t>
      </w:r>
    </w:p>
    <w:p w14:paraId="2C376394" w14:textId="3DA8E0E6" w:rsidR="00874D08" w:rsidRPr="00101018" w:rsidRDefault="000D7E59" w:rsidP="00812218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由於新冠肺炎疫情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醫師使用數位渠道收集資訊的</w:t>
      </w:r>
      <w:r w:rsidRPr="00101018">
        <w:rPr>
          <w:rFonts w:ascii="楷體-繁" w:eastAsia="楷體-繁" w:hAnsi="楷體-繁"/>
          <w:color w:val="000000" w:themeColor="text1"/>
        </w:rPr>
        <w:t>頻率</w:t>
      </w:r>
      <w:r w:rsidRPr="00101018">
        <w:rPr>
          <w:rFonts w:ascii="楷體-繁" w:eastAsia="楷體-繁" w:hAnsi="楷體-繁" w:hint="eastAsia"/>
          <w:color w:val="000000" w:themeColor="text1"/>
        </w:rPr>
        <w:t>提高了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="0023529A" w:rsidRPr="00101018">
        <w:rPr>
          <w:rFonts w:ascii="楷體-繁" w:eastAsia="楷體-繁" w:hAnsi="楷體-繁"/>
          <w:color w:val="000000" w:themeColor="text1"/>
        </w:rPr>
        <w:t>可以說，本次</w:t>
      </w:r>
      <w:r w:rsidR="0023529A" w:rsidRPr="00101018">
        <w:rPr>
          <w:rFonts w:ascii="楷體-繁" w:eastAsia="楷體-繁" w:hAnsi="楷體-繁" w:hint="eastAsia"/>
          <w:color w:val="000000" w:themeColor="text1"/>
        </w:rPr>
        <w:t>調查的結果反應了當前的市場環境</w:t>
      </w:r>
      <w:r w:rsidR="0023529A" w:rsidRPr="00101018">
        <w:rPr>
          <w:rFonts w:ascii="楷體-繁" w:eastAsia="楷體-繁" w:hAnsi="楷體-繁"/>
          <w:color w:val="000000" w:themeColor="text1"/>
        </w:rPr>
        <w:t>。</w:t>
      </w:r>
      <w:r w:rsidR="00CF1377" w:rsidRPr="00101018">
        <w:rPr>
          <w:rFonts w:ascii="楷體-繁" w:eastAsia="楷體-繁" w:hAnsi="楷體-繁" w:hint="eastAsia"/>
          <w:color w:val="000000" w:themeColor="text1"/>
        </w:rPr>
        <w:t>但是</w:t>
      </w:r>
      <w:r w:rsidR="00CF1377" w:rsidRPr="00101018">
        <w:rPr>
          <w:rFonts w:ascii="楷體-繁" w:eastAsia="楷體-繁" w:hAnsi="楷體-繁" w:cs="PingFang TC"/>
          <w:color w:val="000000" w:themeColor="text1"/>
        </w:rPr>
        <w:t>，</w:t>
      </w:r>
      <w:r w:rsidR="00CF1377" w:rsidRPr="00101018">
        <w:rPr>
          <w:rFonts w:ascii="楷體-繁" w:eastAsia="楷體-繁" w:hAnsi="楷體-繁" w:cs="PingFang TC" w:hint="eastAsia"/>
          <w:color w:val="000000" w:themeColor="text1"/>
        </w:rPr>
        <w:t>也有新藥的採用和處方數量沒有像疫情前那樣增加的實際情況</w:t>
      </w:r>
      <w:r w:rsidR="00CF1377" w:rsidRPr="00101018">
        <w:rPr>
          <w:rFonts w:ascii="楷體-繁" w:eastAsia="楷體-繁" w:hAnsi="楷體-繁" w:cs="PingFang TC"/>
          <w:color w:val="000000" w:themeColor="text1"/>
        </w:rPr>
        <w:t>。</w:t>
      </w:r>
      <w:r w:rsidR="00E1137C" w:rsidRPr="00101018">
        <w:rPr>
          <w:rFonts w:ascii="楷體-繁" w:eastAsia="楷體-繁" w:hAnsi="楷體-繁"/>
          <w:color w:val="000000" w:themeColor="text1"/>
        </w:rPr>
        <w:t>未來，</w:t>
      </w:r>
      <w:r w:rsidR="00E1137C" w:rsidRPr="00101018">
        <w:rPr>
          <w:rFonts w:ascii="楷體-繁" w:eastAsia="楷體-繁" w:hAnsi="楷體-繁" w:hint="eastAsia"/>
          <w:color w:val="000000" w:themeColor="text1"/>
        </w:rPr>
        <w:t>透</w:t>
      </w:r>
      <w:r w:rsidR="00E1137C" w:rsidRPr="00101018">
        <w:rPr>
          <w:rFonts w:ascii="楷體-繁" w:eastAsia="楷體-繁" w:hAnsi="楷體-繁"/>
          <w:color w:val="000000" w:themeColor="text1"/>
        </w:rPr>
        <w:t>過數</w:t>
      </w:r>
      <w:r w:rsidR="00E1137C" w:rsidRPr="00101018">
        <w:rPr>
          <w:rFonts w:ascii="楷體-繁" w:eastAsia="楷體-繁" w:hAnsi="楷體-繁" w:hint="eastAsia"/>
          <w:color w:val="000000" w:themeColor="text1"/>
        </w:rPr>
        <w:t>位</w:t>
      </w:r>
      <w:r w:rsidR="00E1137C" w:rsidRPr="00101018">
        <w:rPr>
          <w:rFonts w:ascii="楷體-繁" w:eastAsia="楷體-繁" w:hAnsi="楷體-繁"/>
          <w:color w:val="000000" w:themeColor="text1"/>
        </w:rPr>
        <w:t>渠道提供</w:t>
      </w:r>
      <w:r w:rsidR="00E1137C" w:rsidRPr="00101018">
        <w:rPr>
          <w:rFonts w:ascii="楷體-繁" w:eastAsia="楷體-繁" w:hAnsi="楷體-繁" w:hint="eastAsia"/>
          <w:color w:val="000000" w:themeColor="text1"/>
        </w:rPr>
        <w:t>資訊</w:t>
      </w:r>
      <w:r w:rsidR="00E1137C" w:rsidRPr="00101018">
        <w:rPr>
          <w:rFonts w:ascii="楷體-繁" w:eastAsia="楷體-繁" w:hAnsi="楷體-繁"/>
          <w:color w:val="000000" w:themeColor="text1"/>
        </w:rPr>
        <w:t>和MR渠道相結合的活動，</w:t>
      </w:r>
      <w:r w:rsidR="00812218" w:rsidRPr="00101018">
        <w:rPr>
          <w:rFonts w:ascii="楷體-繁" w:eastAsia="楷體-繁" w:hAnsi="楷體-繁" w:hint="eastAsia"/>
          <w:color w:val="000000" w:themeColor="text1"/>
        </w:rPr>
        <w:t>認真對應</w:t>
      </w:r>
      <w:r w:rsidR="00E1137C" w:rsidRPr="00101018">
        <w:rPr>
          <w:rFonts w:ascii="楷體-繁" w:eastAsia="楷體-繁" w:hAnsi="楷體-繁" w:hint="eastAsia"/>
          <w:color w:val="000000" w:themeColor="text1"/>
        </w:rPr>
        <w:t>每個醫師</w:t>
      </w:r>
      <w:r w:rsidR="00812218" w:rsidRPr="00101018">
        <w:rPr>
          <w:rFonts w:ascii="楷體-繁" w:eastAsia="楷體-繁" w:hAnsi="楷體-繁" w:hint="eastAsia"/>
          <w:color w:val="000000" w:themeColor="text1"/>
        </w:rPr>
        <w:t>的</w:t>
      </w:r>
      <w:r w:rsidR="00040FA6" w:rsidRPr="00101018">
        <w:rPr>
          <w:rFonts w:ascii="楷體-繁" w:eastAsia="楷體-繁" w:hAnsi="楷體-繁" w:hint="eastAsia"/>
          <w:color w:val="000000" w:themeColor="text1"/>
        </w:rPr>
        <w:t>提問</w:t>
      </w:r>
      <w:r w:rsidR="00E1137C" w:rsidRPr="00101018">
        <w:rPr>
          <w:rFonts w:ascii="楷體-繁" w:eastAsia="楷體-繁" w:hAnsi="楷體-繁"/>
          <w:color w:val="000000" w:themeColor="text1"/>
        </w:rPr>
        <w:t>和</w:t>
      </w:r>
      <w:r w:rsidR="00812218" w:rsidRPr="00101018">
        <w:rPr>
          <w:rFonts w:ascii="楷體-繁" w:eastAsia="楷體-繁" w:hAnsi="楷體-繁" w:hint="eastAsia"/>
          <w:color w:val="000000" w:themeColor="text1"/>
        </w:rPr>
        <w:t>關注</w:t>
      </w:r>
      <w:r w:rsidR="00E1137C" w:rsidRPr="00101018">
        <w:rPr>
          <w:rFonts w:ascii="楷體-繁" w:eastAsia="楷體-繁" w:hAnsi="楷體-繁"/>
          <w:color w:val="000000" w:themeColor="text1"/>
        </w:rPr>
        <w:t>，</w:t>
      </w:r>
      <w:r w:rsidR="00812218" w:rsidRPr="00101018">
        <w:rPr>
          <w:rFonts w:ascii="楷體-繁" w:eastAsia="楷體-繁" w:hAnsi="楷體-繁" w:cs="PingFang TC"/>
          <w:color w:val="000000" w:themeColor="text1"/>
        </w:rPr>
        <w:t>連</w:t>
      </w:r>
      <w:r w:rsidR="005F6EA0" w:rsidRPr="00101018">
        <w:rPr>
          <w:rFonts w:ascii="楷體-繁" w:eastAsia="楷體-繁" w:hAnsi="楷體-繁" w:cs="PingFang TC" w:hint="eastAsia"/>
          <w:color w:val="000000" w:themeColor="text1"/>
        </w:rPr>
        <w:t>結</w:t>
      </w:r>
      <w:r w:rsidR="00812218" w:rsidRPr="00101018">
        <w:rPr>
          <w:rFonts w:ascii="楷體-繁" w:eastAsia="楷體-繁" w:hAnsi="楷體-繁" w:cs="PingFang TC"/>
          <w:color w:val="000000" w:themeColor="text1"/>
        </w:rPr>
        <w:t>到新處方和處方的增加變得更</w:t>
      </w:r>
      <w:r w:rsidR="00812218" w:rsidRPr="00101018">
        <w:rPr>
          <w:rFonts w:ascii="楷體-繁" w:eastAsia="楷體-繁" w:hAnsi="楷體-繁" w:cs="PingFang TC" w:hint="eastAsia"/>
          <w:color w:val="000000" w:themeColor="text1"/>
        </w:rPr>
        <w:t>加</w:t>
      </w:r>
      <w:r w:rsidR="00812218" w:rsidRPr="00101018">
        <w:rPr>
          <w:rFonts w:ascii="楷體-繁" w:eastAsia="楷體-繁" w:hAnsi="楷體-繁" w:cs="PingFang TC"/>
          <w:color w:val="000000" w:themeColor="text1"/>
        </w:rPr>
        <w:t>重要了</w:t>
      </w:r>
      <w:r w:rsidR="00812218" w:rsidRPr="00101018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4134E3A7" w14:textId="000856EE" w:rsidR="00574003" w:rsidRPr="00101018" w:rsidRDefault="00574003" w:rsidP="00812218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實際上，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>從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最小單位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>的理想資訊獲取渠道來看，從</w:t>
      </w:r>
      <w:r w:rsidR="005F6EA0" w:rsidRPr="00101018">
        <w:rPr>
          <w:rFonts w:ascii="楷體-繁" w:eastAsia="楷體-繁" w:hAnsi="楷體-繁" w:cs="PingFang TC" w:hint="eastAsia"/>
          <w:color w:val="000000" w:themeColor="text1"/>
        </w:rPr>
        <w:t>第一次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>知道該新藥到新採用和第一次處方，即使是在</w:t>
      </w:r>
      <w:r w:rsidR="00B26E43" w:rsidRPr="00101018">
        <w:rPr>
          <w:rFonts w:ascii="楷體-繁" w:eastAsia="楷體-繁" w:hAnsi="楷體-繁" w:cs="PingFang TC"/>
          <w:color w:val="000000" w:themeColor="text1"/>
        </w:rPr>
        <w:t>HP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>，也證實了「 M</w:t>
      </w:r>
      <w:r w:rsidR="00B26E43" w:rsidRPr="00101018">
        <w:rPr>
          <w:rFonts w:ascii="楷體-繁" w:eastAsia="楷體-繁" w:hAnsi="楷體-繁" w:cs="PingFang TC"/>
          <w:color w:val="000000" w:themeColor="text1"/>
        </w:rPr>
        <w:t xml:space="preserve">R </w:t>
      </w:r>
      <w:r w:rsidR="00B26E43" w:rsidRPr="00101018">
        <w:rPr>
          <w:rFonts w:ascii="楷體-繁" w:eastAsia="楷體-繁" w:hAnsi="楷體-繁"/>
          <w:color w:val="000000" w:themeColor="text1"/>
        </w:rPr>
        <w:t>(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>面訪、電話</w:t>
      </w:r>
      <w:r w:rsidR="00B26E43" w:rsidRPr="00101018">
        <w:rPr>
          <w:rFonts w:ascii="楷體-繁" w:eastAsia="楷體-繁" w:hAnsi="楷體-繁"/>
          <w:color w:val="000000" w:themeColor="text1"/>
        </w:rPr>
        <w:t>)</w:t>
      </w:r>
      <w:r w:rsidR="00B26E43" w:rsidRPr="00101018">
        <w:rPr>
          <w:rFonts w:ascii="楷體-繁" w:eastAsia="楷體-繁" w:hAnsi="楷體-繁" w:cs="PingFang TC" w:hint="eastAsia"/>
          <w:color w:val="000000" w:themeColor="text1"/>
        </w:rPr>
        <w:t xml:space="preserve"> 」居首位。</w:t>
      </w:r>
    </w:p>
    <w:p w14:paraId="318F020D" w14:textId="48EDE976" w:rsidR="00701438" w:rsidRPr="00101018" w:rsidRDefault="00701438" w:rsidP="00701438">
      <w:pPr>
        <w:widowControl w:val="0"/>
        <w:autoSpaceDE w:val="0"/>
        <w:autoSpaceDN w:val="0"/>
        <w:adjustRightInd w:val="0"/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Style w:val="a5"/>
          <w:rFonts w:ascii="楷體-繁" w:eastAsia="楷體-繁" w:hAnsi="楷體-繁"/>
          <w:color w:val="000000" w:themeColor="text1"/>
        </w:rPr>
        <w:t>◎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新藥版</w:t>
      </w:r>
      <w:r w:rsidR="005F6EA0"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各</w:t>
      </w:r>
      <w:r w:rsidRPr="00101018">
        <w:rPr>
          <w:rFonts w:ascii="楷體-繁" w:eastAsia="楷體-繁" w:hAnsi="楷體-繁" w:cs="PingFang TC"/>
          <w:b/>
          <w:bCs/>
          <w:color w:val="000000" w:themeColor="text1"/>
        </w:rPr>
        <w:t>AMTUL</w:t>
      </w:r>
      <w:r w:rsidR="005540A7">
        <w:rPr>
          <w:rFonts w:ascii="楷體-繁" w:eastAsia="楷體-繁" w:hAnsi="楷體-繁" w:cs="PingFang TC" w:hint="eastAsia"/>
          <w:b/>
          <w:bCs/>
          <w:color w:val="000000" w:themeColor="text1"/>
        </w:rPr>
        <w:t>共</w:t>
      </w:r>
      <w:r w:rsidRPr="00101018">
        <w:rPr>
          <w:rFonts w:ascii="楷體-繁" w:eastAsia="楷體-繁" w:hAnsi="楷體-繁" w:cs="PingFang TC"/>
          <w:b/>
          <w:bCs/>
          <w:color w:val="000000" w:themeColor="text1"/>
        </w:rPr>
        <w:t>13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個渠道，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理想的渠道是</w:t>
      </w:r>
      <w:r w:rsidRPr="00101018">
        <w:rPr>
          <w:rFonts w:ascii="楷體-繁" w:eastAsia="楷體-繁" w:hAnsi="楷體-繁" w:cs="Songti TC" w:hint="eastAsia"/>
          <w:b/>
          <w:bCs/>
          <w:color w:val="000000" w:themeColor="text1"/>
        </w:rPr>
        <w:t>？</w:t>
      </w:r>
    </w:p>
    <w:p w14:paraId="5C118EA4" w14:textId="1B1D19D1" w:rsidR="00B57AE5" w:rsidRPr="00101018" w:rsidRDefault="00041775" w:rsidP="00B57AE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這次MCI以5077</w:t>
      </w:r>
      <w:r w:rsidRPr="00101018">
        <w:rPr>
          <w:rFonts w:ascii="楷體-繁" w:eastAsia="楷體-繁" w:hAnsi="楷體-繁" w:hint="eastAsia"/>
          <w:color w:val="000000" w:themeColor="text1"/>
        </w:rPr>
        <w:t>位</w:t>
      </w:r>
      <w:r w:rsidRPr="00101018">
        <w:rPr>
          <w:rFonts w:ascii="楷體-繁" w:eastAsia="楷體-繁" w:hAnsi="楷體-繁"/>
          <w:color w:val="000000" w:themeColor="text1"/>
        </w:rPr>
        <w:t>瀏覽製藥企業網站和醫療相關企業網站的醫</w:t>
      </w:r>
      <w:r w:rsidRPr="00101018">
        <w:rPr>
          <w:rFonts w:ascii="楷體-繁" w:eastAsia="楷體-繁" w:hAnsi="楷體-繁" w:hint="eastAsia"/>
          <w:color w:val="000000" w:themeColor="text1"/>
        </w:rPr>
        <w:t>師</w:t>
      </w:r>
      <w:r w:rsidRPr="00101018">
        <w:rPr>
          <w:rFonts w:ascii="楷體-繁" w:eastAsia="楷體-繁" w:hAnsi="楷體-繁"/>
          <w:color w:val="000000" w:themeColor="text1"/>
        </w:rPr>
        <w:t>為對象，</w:t>
      </w:r>
      <w:r w:rsidR="0089338E" w:rsidRPr="00101018">
        <w:rPr>
          <w:rFonts w:ascii="楷體-繁" w:eastAsia="楷體-繁" w:hAnsi="楷體-繁" w:hint="eastAsia"/>
          <w:color w:val="000000" w:themeColor="text1"/>
        </w:rPr>
        <w:t>按照表示購買過程的模型中常用的</w:t>
      </w:r>
      <w:r w:rsidR="0089338E" w:rsidRPr="00101018">
        <w:rPr>
          <w:rFonts w:ascii="楷體-繁" w:eastAsia="楷體-繁" w:hAnsi="楷體-繁"/>
          <w:color w:val="000000" w:themeColor="text1"/>
        </w:rPr>
        <w:t>「AMTUL」的階段，詢問</w:t>
      </w:r>
      <w:r w:rsidR="005F6EA0" w:rsidRPr="00101018">
        <w:rPr>
          <w:rFonts w:ascii="楷體-繁" w:eastAsia="楷體-繁" w:hAnsi="楷體-繁"/>
          <w:color w:val="000000" w:themeColor="text1"/>
        </w:rPr>
        <w:t>醫</w:t>
      </w:r>
      <w:r w:rsidR="005F6EA0" w:rsidRPr="00101018">
        <w:rPr>
          <w:rFonts w:ascii="楷體-繁" w:eastAsia="楷體-繁" w:hAnsi="楷體-繁" w:hint="eastAsia"/>
          <w:color w:val="000000" w:themeColor="text1"/>
        </w:rPr>
        <w:t>師</w:t>
      </w:r>
      <w:r w:rsidR="0089338E" w:rsidRPr="00101018">
        <w:rPr>
          <w:rFonts w:ascii="楷體-繁" w:eastAsia="楷體-繁" w:hAnsi="楷體-繁"/>
          <w:color w:val="000000" w:themeColor="text1"/>
        </w:rPr>
        <w:t>並統計理想的資訊</w:t>
      </w:r>
      <w:r w:rsidR="0089338E" w:rsidRPr="00101018">
        <w:rPr>
          <w:rFonts w:ascii="楷體-繁" w:eastAsia="楷體-繁" w:hAnsi="楷體-繁" w:hint="eastAsia"/>
          <w:color w:val="000000" w:themeColor="text1"/>
        </w:rPr>
        <w:t>渠道</w:t>
      </w:r>
      <w:r w:rsidR="0089338E" w:rsidRPr="00101018">
        <w:rPr>
          <w:rFonts w:ascii="楷體-繁" w:eastAsia="楷體-繁" w:hAnsi="楷體-繁"/>
          <w:color w:val="000000" w:themeColor="text1"/>
        </w:rPr>
        <w:t>。調查時間為</w:t>
      </w:r>
      <w:r w:rsidR="0089338E" w:rsidRPr="00101018">
        <w:rPr>
          <w:rFonts w:ascii="楷體-繁" w:eastAsia="楷體-繁" w:hAnsi="楷體-繁" w:hint="eastAsia"/>
          <w:color w:val="000000" w:themeColor="text1"/>
        </w:rPr>
        <w:t>2</w:t>
      </w:r>
      <w:r w:rsidR="0089338E" w:rsidRPr="00101018">
        <w:rPr>
          <w:rFonts w:ascii="楷體-繁" w:eastAsia="楷體-繁" w:hAnsi="楷體-繁"/>
          <w:color w:val="000000" w:themeColor="text1"/>
        </w:rPr>
        <w:t>021年2月4日～18日。</w:t>
      </w:r>
    </w:p>
    <w:p w14:paraId="5BE78A0C" w14:textId="5FB99AD6" w:rsidR="00C93F5D" w:rsidRPr="00101018" w:rsidRDefault="00C93F5D" w:rsidP="005F6EA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AMTUL是認知（Aware）、記憶（Memory）、試用（Trial）、日常使用（Usage）、愛用（Loyalty）的首字母</w:t>
      </w:r>
      <w:r w:rsidRPr="00101018">
        <w:rPr>
          <w:rFonts w:ascii="楷體-繁" w:eastAsia="楷體-繁" w:hAnsi="楷體-繁" w:hint="eastAsia"/>
          <w:color w:val="000000" w:themeColor="text1"/>
        </w:rPr>
        <w:t>縮寫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="001B2948" w:rsidRPr="00101018">
        <w:rPr>
          <w:rFonts w:ascii="楷體-繁" w:eastAsia="楷體-繁" w:hAnsi="楷體-繁"/>
          <w:color w:val="000000" w:themeColor="text1"/>
        </w:rPr>
        <w:t>MCI此次實施的新藥版的AMTUL</w:t>
      </w:r>
      <w:r w:rsidR="00B57AE5" w:rsidRPr="00101018">
        <w:rPr>
          <w:rFonts w:ascii="楷體-繁" w:eastAsia="楷體-繁" w:hAnsi="楷體-繁" w:hint="eastAsia"/>
          <w:color w:val="000000" w:themeColor="text1"/>
        </w:rPr>
        <w:t>定義為</w:t>
      </w:r>
      <w:r w:rsidR="001B2948" w:rsidRPr="00101018">
        <w:rPr>
          <w:rFonts w:ascii="楷體-繁" w:eastAsia="楷體-繁" w:hAnsi="楷體-繁"/>
          <w:color w:val="000000" w:themeColor="text1"/>
        </w:rPr>
        <w:t>，</w:t>
      </w:r>
      <w:r w:rsidR="001B2948" w:rsidRPr="00101018">
        <w:rPr>
          <w:rFonts w:ascii="楷體-繁" w:eastAsia="楷體-繁" w:hAnsi="楷體-繁" w:cs="Segoe UI Symbol"/>
          <w:color w:val="000000" w:themeColor="text1"/>
        </w:rPr>
        <w:t>▽</w:t>
      </w:r>
      <w:r w:rsidR="001B2948" w:rsidRPr="00101018">
        <w:rPr>
          <w:rFonts w:ascii="楷體-繁" w:eastAsia="楷體-繁" w:hAnsi="楷體-繁"/>
          <w:color w:val="000000" w:themeColor="text1"/>
        </w:rPr>
        <w:t>認知（A）</w:t>
      </w:r>
      <w:r w:rsidR="00B57AE5" w:rsidRPr="00101018">
        <w:rPr>
          <w:rFonts w:ascii="楷體-繁" w:eastAsia="楷體-繁" w:hAnsi="楷體-繁" w:cs="Songti TC" w:hint="eastAsia"/>
          <w:color w:val="000000" w:themeColor="text1"/>
        </w:rPr>
        <w:t>：</w:t>
      </w:r>
      <w:r w:rsidR="001B2948" w:rsidRPr="00101018">
        <w:rPr>
          <w:rFonts w:ascii="楷體-繁" w:eastAsia="楷體-繁" w:hAnsi="楷體-繁" w:hint="eastAsia"/>
          <w:color w:val="000000" w:themeColor="text1"/>
        </w:rPr>
        <w:t>醫師第一次知道該新藥時</w:t>
      </w:r>
      <w:r w:rsidR="001B2948" w:rsidRPr="00101018">
        <w:rPr>
          <w:rFonts w:ascii="楷體-繁" w:eastAsia="楷體-繁" w:hAnsi="楷體-繁" w:cs="Songti TC" w:hint="eastAsia"/>
          <w:color w:val="000000" w:themeColor="text1"/>
        </w:rPr>
        <w:t>；</w:t>
      </w:r>
      <w:r w:rsidR="001B2948" w:rsidRPr="00101018">
        <w:rPr>
          <w:rFonts w:ascii="楷體-繁" w:eastAsia="楷體-繁" w:hAnsi="楷體-繁" w:cs="Segoe UI Symbol"/>
          <w:color w:val="000000" w:themeColor="text1"/>
        </w:rPr>
        <w:t>▽</w:t>
      </w:r>
      <w:r w:rsidR="001B2948" w:rsidRPr="00101018">
        <w:rPr>
          <w:rFonts w:ascii="楷體-繁" w:eastAsia="楷體-繁" w:hAnsi="楷體-繁"/>
          <w:color w:val="000000" w:themeColor="text1"/>
        </w:rPr>
        <w:t>理解（M）</w:t>
      </w:r>
      <w:r w:rsidR="00B57AE5" w:rsidRPr="00101018">
        <w:rPr>
          <w:rFonts w:ascii="楷體-繁" w:eastAsia="楷體-繁" w:hAnsi="楷體-繁" w:cs="Songti TC" w:hint="eastAsia"/>
          <w:color w:val="000000" w:themeColor="text1"/>
        </w:rPr>
        <w:t>：</w:t>
      </w:r>
      <w:r w:rsidR="001B2948" w:rsidRPr="00101018">
        <w:rPr>
          <w:rFonts w:ascii="楷體-繁" w:eastAsia="楷體-繁" w:hAnsi="楷體-繁"/>
          <w:color w:val="000000" w:themeColor="text1"/>
        </w:rPr>
        <w:t>當了解一種沒有處方經驗的藥物的特性時</w:t>
      </w:r>
      <w:r w:rsidR="001B2948" w:rsidRPr="00101018">
        <w:rPr>
          <w:rFonts w:ascii="楷體-繁" w:eastAsia="楷體-繁" w:hAnsi="楷體-繁" w:cs="Songti TC" w:hint="eastAsia"/>
          <w:color w:val="000000" w:themeColor="text1"/>
        </w:rPr>
        <w:t>；</w:t>
      </w:r>
      <w:r w:rsidR="001B2948" w:rsidRPr="00101018">
        <w:rPr>
          <w:rFonts w:ascii="楷體-繁" w:eastAsia="楷體-繁" w:hAnsi="楷體-繁" w:cs="Segoe UI Symbol"/>
          <w:color w:val="000000" w:themeColor="text1"/>
        </w:rPr>
        <w:t>▽</w:t>
      </w:r>
      <w:r w:rsidR="001B2948" w:rsidRPr="00101018">
        <w:rPr>
          <w:rFonts w:ascii="楷體-繁" w:eastAsia="楷體-繁" w:hAnsi="楷體-繁"/>
          <w:color w:val="000000" w:themeColor="text1"/>
        </w:rPr>
        <w:t>考慮採</w:t>
      </w:r>
      <w:r w:rsidR="001B2948" w:rsidRPr="00101018">
        <w:rPr>
          <w:rFonts w:ascii="楷體-繁" w:eastAsia="楷體-繁" w:hAnsi="楷體-繁"/>
          <w:color w:val="000000" w:themeColor="text1"/>
        </w:rPr>
        <w:lastRenderedPageBreak/>
        <w:t>用(T) : 考慮採用</w:t>
      </w:r>
      <w:r w:rsidR="001B2948" w:rsidRPr="00101018">
        <w:rPr>
          <w:rFonts w:ascii="楷體-繁" w:eastAsia="楷體-繁" w:hAnsi="楷體-繁" w:hint="eastAsia"/>
          <w:color w:val="000000" w:themeColor="text1"/>
        </w:rPr>
        <w:t>未曾處方的藥物或考慮開始處方</w:t>
      </w:r>
      <w:r w:rsidR="001B2948" w:rsidRPr="00101018">
        <w:rPr>
          <w:rFonts w:ascii="楷體-繁" w:eastAsia="楷體-繁" w:hAnsi="楷體-繁" w:cs="Songti TC" w:hint="eastAsia"/>
          <w:color w:val="000000" w:themeColor="text1"/>
        </w:rPr>
        <w:t>；</w:t>
      </w:r>
      <w:r w:rsidR="001B2948" w:rsidRPr="00101018">
        <w:rPr>
          <w:rFonts w:ascii="楷體-繁" w:eastAsia="楷體-繁" w:hAnsi="楷體-繁" w:cs="Segoe UI Symbol"/>
          <w:color w:val="000000" w:themeColor="text1"/>
        </w:rPr>
        <w:t>▽</w:t>
      </w:r>
      <w:r w:rsidR="001B2948" w:rsidRPr="00101018">
        <w:rPr>
          <w:rFonts w:ascii="楷體-繁" w:eastAsia="楷體-繁" w:hAnsi="楷體-繁"/>
          <w:color w:val="000000" w:themeColor="text1"/>
        </w:rPr>
        <w:t>擴大處方(U)</w:t>
      </w:r>
      <w:r w:rsidR="00B57AE5" w:rsidRPr="00101018">
        <w:rPr>
          <w:rFonts w:ascii="楷體-繁" w:eastAsia="楷體-繁" w:hAnsi="楷體-繁" w:cs="Songti TC" w:hint="eastAsia"/>
          <w:color w:val="000000" w:themeColor="text1"/>
        </w:rPr>
        <w:t>：</w:t>
      </w:r>
      <w:r w:rsidR="001B2948" w:rsidRPr="00101018">
        <w:rPr>
          <w:rFonts w:ascii="楷體-繁" w:eastAsia="楷體-繁" w:hAnsi="楷體-繁"/>
          <w:color w:val="000000" w:themeColor="text1"/>
        </w:rPr>
        <w:t>決定增加處方</w:t>
      </w:r>
      <w:r w:rsidR="001B2948" w:rsidRPr="00101018">
        <w:rPr>
          <w:rFonts w:ascii="楷體-繁" w:eastAsia="楷體-繁" w:hAnsi="楷體-繁" w:hint="eastAsia"/>
          <w:color w:val="000000" w:themeColor="text1"/>
        </w:rPr>
        <w:t>病患</w:t>
      </w:r>
      <w:r w:rsidR="001B2948" w:rsidRPr="00101018">
        <w:rPr>
          <w:rFonts w:ascii="楷體-繁" w:eastAsia="楷體-繁" w:hAnsi="楷體-繁"/>
          <w:color w:val="000000" w:themeColor="text1"/>
        </w:rPr>
        <w:t>人數時</w:t>
      </w:r>
      <w:r w:rsidR="001B2948" w:rsidRPr="00101018">
        <w:rPr>
          <w:rFonts w:ascii="楷體-繁" w:eastAsia="楷體-繁" w:hAnsi="楷體-繁" w:cs="Songti TC" w:hint="eastAsia"/>
          <w:color w:val="000000" w:themeColor="text1"/>
        </w:rPr>
        <w:t>；</w:t>
      </w:r>
      <w:r w:rsidR="00B57AE5" w:rsidRPr="00101018">
        <w:rPr>
          <w:rFonts w:ascii="楷體-繁" w:eastAsia="楷體-繁" w:hAnsi="楷體-繁" w:cs="Segoe UI Symbol"/>
          <w:color w:val="000000" w:themeColor="text1"/>
        </w:rPr>
        <w:t>▽</w:t>
      </w:r>
      <w:r w:rsidR="00B57AE5" w:rsidRPr="00101018">
        <w:rPr>
          <w:rFonts w:ascii="楷體-繁" w:eastAsia="楷體-繁" w:hAnsi="楷體-繁"/>
          <w:color w:val="000000" w:themeColor="text1"/>
        </w:rPr>
        <w:t>繼續處方(L)</w:t>
      </w:r>
      <w:r w:rsidR="002F520E" w:rsidRPr="00101018">
        <w:rPr>
          <w:rFonts w:ascii="楷體-繁" w:eastAsia="楷體-繁" w:hAnsi="楷體-繁" w:cs="Songti TC" w:hint="eastAsia"/>
          <w:color w:val="000000" w:themeColor="text1"/>
        </w:rPr>
        <w:t xml:space="preserve"> ：</w:t>
      </w:r>
      <w:r w:rsidR="002F520E" w:rsidRPr="00101018">
        <w:rPr>
          <w:rFonts w:ascii="楷體-繁" w:eastAsia="楷體-繁" w:hAnsi="楷體-繁" w:hint="eastAsia"/>
          <w:color w:val="000000" w:themeColor="text1"/>
        </w:rPr>
        <w:t>判斷</w:t>
      </w:r>
      <w:r w:rsidR="00B57AE5" w:rsidRPr="00101018">
        <w:rPr>
          <w:rFonts w:ascii="楷體-繁" w:eastAsia="楷體-繁" w:hAnsi="楷體-繁"/>
          <w:color w:val="000000" w:themeColor="text1"/>
        </w:rPr>
        <w:t>繼續</w:t>
      </w:r>
      <w:r w:rsidR="002F520E" w:rsidRPr="00101018">
        <w:rPr>
          <w:rFonts w:ascii="楷體-繁" w:eastAsia="楷體-繁" w:hAnsi="楷體-繁" w:hint="eastAsia"/>
          <w:color w:val="000000" w:themeColor="text1"/>
        </w:rPr>
        <w:t>使用習慣了</w:t>
      </w:r>
      <w:r w:rsidR="00B57AE5" w:rsidRPr="00101018">
        <w:rPr>
          <w:rFonts w:ascii="楷體-繁" w:eastAsia="楷體-繁" w:hAnsi="楷體-繁"/>
          <w:color w:val="000000" w:themeColor="text1"/>
        </w:rPr>
        <w:t>的藥物時。</w:t>
      </w:r>
    </w:p>
    <w:p w14:paraId="5CED826B" w14:textId="504BF7E8" w:rsidR="00D12BB9" w:rsidRPr="00101018" w:rsidRDefault="00D12BB9" w:rsidP="00C65A6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調查按AMTUL的5個階段分別準備了13個</w:t>
      </w:r>
      <w:r w:rsidRPr="00101018">
        <w:rPr>
          <w:rFonts w:ascii="楷體-繁" w:eastAsia="楷體-繁" w:hAnsi="楷體-繁" w:hint="eastAsia"/>
          <w:color w:val="000000" w:themeColor="text1"/>
        </w:rPr>
        <w:t>渠</w:t>
      </w:r>
      <w:r w:rsidRPr="00101018">
        <w:rPr>
          <w:rFonts w:ascii="楷體-繁" w:eastAsia="楷體-繁" w:hAnsi="楷體-繁"/>
          <w:color w:val="000000" w:themeColor="text1"/>
        </w:rPr>
        <w:t>道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/>
          <w:color w:val="000000" w:themeColor="text1"/>
        </w:rPr>
        <w:t>MR（面談、電話）、MR（郵件）、</w:t>
      </w:r>
      <w:r w:rsidRPr="00101018">
        <w:rPr>
          <w:rFonts w:ascii="楷體-繁" w:eastAsia="楷體-繁" w:hAnsi="楷體-繁" w:hint="eastAsia"/>
          <w:color w:val="000000" w:themeColor="text1"/>
        </w:rPr>
        <w:t>互聯網</w:t>
      </w:r>
      <w:r w:rsidRPr="00101018">
        <w:rPr>
          <w:rFonts w:ascii="楷體-繁" w:eastAsia="楷體-繁" w:hAnsi="楷體-繁"/>
          <w:color w:val="000000" w:themeColor="text1"/>
        </w:rPr>
        <w:t>網站、網路</w:t>
      </w:r>
      <w:r w:rsidRPr="00101018">
        <w:rPr>
          <w:rFonts w:ascii="楷體-繁" w:eastAsia="楷體-繁" w:hAnsi="楷體-繁" w:hint="eastAsia"/>
          <w:color w:val="000000" w:themeColor="text1"/>
        </w:rPr>
        <w:t>研討會</w:t>
      </w:r>
      <w:r w:rsidRPr="00101018">
        <w:rPr>
          <w:rFonts w:ascii="楷體-繁" w:eastAsia="楷體-繁" w:hAnsi="楷體-繁"/>
          <w:color w:val="000000" w:themeColor="text1"/>
        </w:rPr>
        <w:t>、製藥企業主辦</w:t>
      </w:r>
      <w:r w:rsidRPr="00101018">
        <w:rPr>
          <w:rFonts w:ascii="楷體-繁" w:eastAsia="楷體-繁" w:hAnsi="楷體-繁" w:hint="eastAsia"/>
          <w:color w:val="000000" w:themeColor="text1"/>
        </w:rPr>
        <w:t>的研</w:t>
      </w:r>
      <w:r w:rsidR="005540A7">
        <w:rPr>
          <w:rFonts w:ascii="楷體-繁" w:eastAsia="楷體-繁" w:hAnsi="楷體-繁" w:hint="eastAsia"/>
          <w:color w:val="000000" w:themeColor="text1"/>
        </w:rPr>
        <w:t>討</w:t>
      </w:r>
      <w:r w:rsidRPr="00101018">
        <w:rPr>
          <w:rFonts w:ascii="楷體-繁" w:eastAsia="楷體-繁" w:hAnsi="楷體-繁"/>
          <w:color w:val="000000" w:themeColor="text1"/>
        </w:rPr>
        <w:t>會、學會</w:t>
      </w:r>
      <w:r w:rsidRPr="00101018">
        <w:rPr>
          <w:rFonts w:ascii="楷體-繁" w:eastAsia="楷體-繁" w:hAnsi="楷體-繁" w:hint="eastAsia"/>
          <w:color w:val="000000" w:themeColor="text1"/>
        </w:rPr>
        <w:t>雜誌</w:t>
      </w:r>
      <w:r w:rsidRPr="00101018">
        <w:rPr>
          <w:rFonts w:ascii="楷體-繁" w:eastAsia="楷體-繁" w:hAnsi="楷體-繁"/>
          <w:color w:val="000000" w:themeColor="text1"/>
        </w:rPr>
        <w:t>、學會、醫</w:t>
      </w:r>
      <w:r w:rsidRPr="00101018">
        <w:rPr>
          <w:rFonts w:ascii="楷體-繁" w:eastAsia="楷體-繁" w:hAnsi="楷體-繁" w:hint="eastAsia"/>
          <w:color w:val="000000" w:themeColor="text1"/>
        </w:rPr>
        <w:t>師同儕</w:t>
      </w:r>
      <w:r w:rsidRPr="00101018">
        <w:rPr>
          <w:rFonts w:ascii="楷體-繁" w:eastAsia="楷體-繁" w:hAnsi="楷體-繁"/>
          <w:color w:val="000000" w:themeColor="text1"/>
        </w:rPr>
        <w:t>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作為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/>
          <w:color w:val="000000" w:themeColor="text1"/>
        </w:rPr>
        <w:t>資訊收集中理想的資訊</w:t>
      </w:r>
      <w:r w:rsidRPr="00101018">
        <w:rPr>
          <w:rFonts w:ascii="楷體-繁" w:eastAsia="楷體-繁" w:hAnsi="楷體-繁" w:hint="eastAsia"/>
          <w:color w:val="000000" w:themeColor="text1"/>
        </w:rPr>
        <w:t>渠</w:t>
      </w:r>
      <w:r w:rsidRPr="00101018">
        <w:rPr>
          <w:rFonts w:ascii="楷體-繁" w:eastAsia="楷體-繁" w:hAnsi="楷體-繁"/>
          <w:color w:val="000000" w:themeColor="text1"/>
        </w:rPr>
        <w:t>道。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之後，請醫</w:t>
      </w:r>
      <w:r w:rsidRPr="00101018">
        <w:rPr>
          <w:rFonts w:ascii="楷體-繁" w:eastAsia="楷體-繁" w:hAnsi="楷體-繁" w:hint="eastAsia"/>
          <w:color w:val="000000" w:themeColor="text1"/>
        </w:rPr>
        <w:t>師</w:t>
      </w:r>
      <w:r w:rsidRPr="00101018">
        <w:rPr>
          <w:rFonts w:ascii="楷體-繁" w:eastAsia="楷體-繁" w:hAnsi="楷體-繁"/>
          <w:color w:val="000000" w:themeColor="text1"/>
        </w:rPr>
        <w:t>在理想</w:t>
      </w:r>
      <w:r w:rsidRPr="00101018">
        <w:rPr>
          <w:rFonts w:ascii="楷體-繁" w:eastAsia="楷體-繁" w:hAnsi="楷體-繁" w:hint="eastAsia"/>
          <w:color w:val="000000" w:themeColor="text1"/>
        </w:rPr>
        <w:t>渠</w:t>
      </w:r>
      <w:r w:rsidRPr="00101018">
        <w:rPr>
          <w:rFonts w:ascii="楷體-繁" w:eastAsia="楷體-繁" w:hAnsi="楷體-繁"/>
          <w:color w:val="000000" w:themeColor="text1"/>
        </w:rPr>
        <w:t>道中輸入一個數值，使AMTUL的</w:t>
      </w:r>
      <w:r w:rsidRPr="00101018">
        <w:rPr>
          <w:rFonts w:ascii="楷體-繁" w:eastAsia="楷體-繁" w:hAnsi="楷體-繁" w:hint="eastAsia"/>
          <w:color w:val="000000" w:themeColor="text1"/>
        </w:rPr>
        <w:t>5</w:t>
      </w:r>
      <w:r w:rsidRPr="00101018">
        <w:rPr>
          <w:rFonts w:ascii="楷體-繁" w:eastAsia="楷體-繁" w:hAnsi="楷體-繁"/>
          <w:color w:val="000000" w:themeColor="text1"/>
        </w:rPr>
        <w:t>個階段的</w:t>
      </w:r>
      <w:r w:rsidR="006E10BC" w:rsidRPr="00101018">
        <w:rPr>
          <w:rFonts w:ascii="楷體-繁" w:eastAsia="楷體-繁" w:hAnsi="楷體-繁" w:hint="eastAsia"/>
          <w:color w:val="000000" w:themeColor="text1"/>
        </w:rPr>
        <w:t>合計</w:t>
      </w:r>
      <w:r w:rsidRPr="00101018">
        <w:rPr>
          <w:rFonts w:ascii="楷體-繁" w:eastAsia="楷體-繁" w:hAnsi="楷體-繁"/>
          <w:color w:val="000000" w:themeColor="text1"/>
        </w:rPr>
        <w:t>為100%，</w:t>
      </w:r>
      <w:r w:rsidRPr="00101018">
        <w:rPr>
          <w:rFonts w:ascii="楷體-繁" w:eastAsia="楷體-繁" w:hAnsi="楷體-繁" w:hint="eastAsia"/>
          <w:color w:val="000000" w:themeColor="text1"/>
        </w:rPr>
        <w:t>計</w:t>
      </w:r>
      <w:r w:rsidRPr="00101018">
        <w:rPr>
          <w:rFonts w:ascii="楷體-繁" w:eastAsia="楷體-繁" w:hAnsi="楷體-繁"/>
          <w:color w:val="000000" w:themeColor="text1"/>
        </w:rPr>
        <w:t>算平均值。</w:t>
      </w:r>
    </w:p>
    <w:p w14:paraId="39AFF8A8" w14:textId="75FD1F1C" w:rsidR="00F71BD8" w:rsidRPr="00101018" w:rsidRDefault="00F71BD8" w:rsidP="00C65A6D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  <w:lang w:eastAsia="ja-JP"/>
        </w:rPr>
      </w:pPr>
      <w:r w:rsidRPr="00101018">
        <w:rPr>
          <w:rStyle w:val="a5"/>
          <w:rFonts w:ascii="楷體-繁" w:eastAsia="楷體-繁" w:hAnsi="楷體-繁"/>
          <w:color w:val="000000" w:themeColor="text1"/>
          <w:lang w:eastAsia="ja-JP"/>
        </w:rPr>
        <w:t>◎</w:t>
      </w:r>
      <w:r w:rsidRPr="00101018">
        <w:rPr>
          <w:rFonts w:ascii="楷體-繁" w:eastAsia="楷體-繁" w:hAnsi="楷體-繁" w:hint="eastAsia"/>
          <w:b/>
          <w:bCs/>
          <w:color w:val="000000" w:themeColor="text1"/>
          <w:lang w:eastAsia="ja-JP"/>
        </w:rPr>
        <w:t>考慮採用時的理想渠道</w:t>
      </w:r>
      <w:r w:rsidRPr="00101018">
        <w:rPr>
          <w:rFonts w:ascii="楷體-繁" w:eastAsia="楷體-繁" w:hAnsi="楷體-繁" w:cs="Songti TC" w:hint="eastAsia"/>
          <w:b/>
          <w:bCs/>
          <w:color w:val="000000" w:themeColor="text1"/>
          <w:lang w:eastAsia="ja-JP"/>
        </w:rPr>
        <w:t>：數位</w:t>
      </w:r>
      <w:r w:rsidRPr="00101018">
        <w:rPr>
          <w:rFonts w:ascii="楷體-繁" w:eastAsia="楷體-繁" w:hAnsi="楷體-繁" w:cs="Songti TC"/>
          <w:b/>
          <w:bCs/>
          <w:color w:val="000000" w:themeColor="text1"/>
          <w:lang w:eastAsia="ja-JP"/>
        </w:rPr>
        <w:t>29%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，ＭＲ</w:t>
      </w:r>
      <w:r w:rsidRPr="00101018">
        <w:rPr>
          <w:rFonts w:ascii="楷體-繁" w:eastAsia="楷體-繁" w:hAnsi="楷體-繁" w:cs="PingFang TC"/>
          <w:b/>
          <w:bCs/>
          <w:color w:val="000000" w:themeColor="text1"/>
          <w:lang w:eastAsia="ja-JP"/>
        </w:rPr>
        <w:t>24%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，但</w:t>
      </w:r>
      <w:r w:rsidRPr="00101018">
        <w:rPr>
          <w:rStyle w:val="a5"/>
          <w:rFonts w:hint="eastAsia"/>
          <w:color w:val="000000" w:themeColor="text1"/>
          <w:lang w:eastAsia="ja-JP"/>
        </w:rPr>
        <w:t>・・・</w:t>
      </w:r>
    </w:p>
    <w:p w14:paraId="07C2E32A" w14:textId="0D7270CD" w:rsidR="00095360" w:rsidRPr="00101018" w:rsidRDefault="00095360" w:rsidP="00C65A6D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結果顯示，希望從數</w:t>
      </w:r>
      <w:r w:rsidRPr="00101018">
        <w:rPr>
          <w:rFonts w:ascii="楷體-繁" w:eastAsia="楷體-繁" w:hAnsi="楷體-繁" w:hint="eastAsia"/>
          <w:color w:val="000000" w:themeColor="text1"/>
        </w:rPr>
        <w:t>位渠</w:t>
      </w:r>
      <w:r w:rsidRPr="00101018">
        <w:rPr>
          <w:rFonts w:ascii="楷體-繁" w:eastAsia="楷體-繁" w:hAnsi="楷體-繁"/>
          <w:color w:val="000000" w:themeColor="text1"/>
        </w:rPr>
        <w:t>道（</w:t>
      </w:r>
      <w:r w:rsidRPr="00101018">
        <w:rPr>
          <w:rFonts w:ascii="楷體-繁" w:eastAsia="楷體-繁" w:hAnsi="楷體-繁" w:hint="eastAsia"/>
          <w:color w:val="000000" w:themeColor="text1"/>
        </w:rPr>
        <w:t>互聯網</w:t>
      </w:r>
      <w:r w:rsidRPr="00101018">
        <w:rPr>
          <w:rFonts w:ascii="楷體-繁" w:eastAsia="楷體-繁" w:hAnsi="楷體-繁"/>
          <w:color w:val="000000" w:themeColor="text1"/>
        </w:rPr>
        <w:t>網站、網路</w:t>
      </w:r>
      <w:r w:rsidRPr="00101018">
        <w:rPr>
          <w:rFonts w:ascii="楷體-繁" w:eastAsia="楷體-繁" w:hAnsi="楷體-繁" w:hint="eastAsia"/>
          <w:color w:val="000000" w:themeColor="text1"/>
        </w:rPr>
        <w:t>研討會</w:t>
      </w:r>
      <w:r w:rsidRPr="00101018">
        <w:rPr>
          <w:rFonts w:ascii="楷體-繁" w:eastAsia="楷體-繁" w:hAnsi="楷體-繁"/>
          <w:color w:val="000000" w:themeColor="text1"/>
        </w:rPr>
        <w:t>）獲取</w:t>
      </w:r>
      <w:r w:rsidRPr="00101018">
        <w:rPr>
          <w:rFonts w:ascii="楷體-繁" w:eastAsia="楷體-繁" w:hAnsi="楷體-繁" w:hint="eastAsia"/>
          <w:color w:val="000000" w:themeColor="text1"/>
        </w:rPr>
        <w:t>資訊</w:t>
      </w:r>
      <w:r w:rsidRPr="00101018">
        <w:rPr>
          <w:rFonts w:ascii="楷體-繁" w:eastAsia="楷體-繁" w:hAnsi="楷體-繁"/>
          <w:color w:val="000000" w:themeColor="text1"/>
        </w:rPr>
        <w:t>的比例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在認知階段（A）為31.9%，理解階段（M）31.3%，考慮</w:t>
      </w:r>
      <w:r w:rsidRPr="00101018">
        <w:rPr>
          <w:rFonts w:ascii="楷體-繁" w:eastAsia="楷體-繁" w:hAnsi="楷體-繁" w:hint="eastAsia"/>
          <w:color w:val="000000" w:themeColor="text1"/>
        </w:rPr>
        <w:t>採用</w:t>
      </w:r>
      <w:r w:rsidRPr="00101018">
        <w:rPr>
          <w:rFonts w:ascii="楷體-繁" w:eastAsia="楷體-繁" w:hAnsi="楷體-繁"/>
          <w:color w:val="000000" w:themeColor="text1"/>
        </w:rPr>
        <w:t>(T)</w:t>
      </w:r>
      <w:r w:rsidR="00AC4284" w:rsidRPr="00101018">
        <w:rPr>
          <w:rFonts w:ascii="楷體-繁" w:eastAsia="楷體-繁" w:hAnsi="楷體-繁"/>
          <w:color w:val="000000" w:themeColor="text1"/>
        </w:rPr>
        <w:t xml:space="preserve"> </w:t>
      </w:r>
      <w:r w:rsidRPr="00101018">
        <w:rPr>
          <w:rFonts w:ascii="楷體-繁" w:eastAsia="楷體-繁" w:hAnsi="楷體-繁"/>
          <w:color w:val="000000" w:themeColor="text1"/>
        </w:rPr>
        <w:t>29.4%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擴</w:t>
      </w:r>
      <w:r w:rsidRPr="00101018">
        <w:rPr>
          <w:rFonts w:ascii="楷體-繁" w:eastAsia="楷體-繁" w:hAnsi="楷體-繁" w:hint="eastAsia"/>
          <w:color w:val="000000" w:themeColor="text1"/>
        </w:rPr>
        <w:t>大</w:t>
      </w:r>
      <w:r w:rsidRPr="00101018">
        <w:rPr>
          <w:rFonts w:ascii="楷體-繁" w:eastAsia="楷體-繁" w:hAnsi="楷體-繁"/>
          <w:color w:val="000000" w:themeColor="text1"/>
        </w:rPr>
        <w:t>處方(U)</w:t>
      </w:r>
      <w:r w:rsidR="00AC4284" w:rsidRPr="00101018">
        <w:rPr>
          <w:rFonts w:ascii="楷體-繁" w:eastAsia="楷體-繁" w:hAnsi="楷體-繁"/>
          <w:color w:val="000000" w:themeColor="text1"/>
        </w:rPr>
        <w:t xml:space="preserve"> </w:t>
      </w:r>
      <w:r w:rsidRPr="00101018">
        <w:rPr>
          <w:rFonts w:ascii="楷體-繁" w:eastAsia="楷體-繁" w:hAnsi="楷體-繁"/>
          <w:color w:val="000000" w:themeColor="text1"/>
        </w:rPr>
        <w:t>28.9%，</w:t>
      </w:r>
      <w:r w:rsidRPr="00101018">
        <w:rPr>
          <w:rFonts w:ascii="楷體-繁" w:eastAsia="楷體-繁" w:hAnsi="楷體-繁" w:hint="eastAsia"/>
          <w:color w:val="000000" w:themeColor="text1"/>
        </w:rPr>
        <w:t>持</w:t>
      </w:r>
      <w:r w:rsidRPr="00101018">
        <w:rPr>
          <w:rFonts w:ascii="楷體-繁" w:eastAsia="楷體-繁" w:hAnsi="楷體-繁"/>
          <w:color w:val="000000" w:themeColor="text1"/>
        </w:rPr>
        <w:t>續處方(L)</w:t>
      </w:r>
      <w:r w:rsidR="00AC4284" w:rsidRPr="00101018">
        <w:rPr>
          <w:rFonts w:ascii="楷體-繁" w:eastAsia="楷體-繁" w:hAnsi="楷體-繁" w:hint="eastAsia"/>
          <w:color w:val="000000" w:themeColor="text1"/>
        </w:rPr>
        <w:t xml:space="preserve"> </w:t>
      </w:r>
      <w:r w:rsidRPr="00101018">
        <w:rPr>
          <w:rFonts w:ascii="楷體-繁" w:eastAsia="楷體-繁" w:hAnsi="楷體-繁"/>
          <w:color w:val="000000" w:themeColor="text1"/>
        </w:rPr>
        <w:t>27.4%。數</w:t>
      </w:r>
      <w:r w:rsidRPr="00101018">
        <w:rPr>
          <w:rFonts w:ascii="楷體-繁" w:eastAsia="楷體-繁" w:hAnsi="楷體-繁" w:hint="eastAsia"/>
          <w:color w:val="000000" w:themeColor="text1"/>
        </w:rPr>
        <w:t>位</w:t>
      </w:r>
      <w:r w:rsidRPr="00101018">
        <w:rPr>
          <w:rFonts w:ascii="楷體-繁" w:eastAsia="楷體-繁" w:hAnsi="楷體-繁"/>
          <w:color w:val="000000" w:themeColor="text1"/>
        </w:rPr>
        <w:t>渠道的特點之一是</w:t>
      </w: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認知和理解</w:t>
      </w:r>
      <w:r w:rsidR="00C14C5C" w:rsidRPr="00101018">
        <w:rPr>
          <w:rFonts w:ascii="楷體-繁" w:eastAsia="楷體-繁" w:hAnsi="楷體-繁" w:hint="eastAsia"/>
          <w:color w:val="000000" w:themeColor="text1"/>
        </w:rPr>
        <w:t>階段</w:t>
      </w:r>
      <w:r w:rsidRPr="00101018">
        <w:rPr>
          <w:rFonts w:ascii="楷體-繁" w:eastAsia="楷體-繁" w:hAnsi="楷體-繁"/>
          <w:color w:val="000000" w:themeColor="text1"/>
        </w:rPr>
        <w:t>的比例較高，但</w:t>
      </w:r>
      <w:r w:rsidRPr="00101018">
        <w:rPr>
          <w:rFonts w:ascii="楷體-繁" w:eastAsia="楷體-繁" w:hAnsi="楷體-繁" w:hint="eastAsia"/>
          <w:color w:val="000000" w:themeColor="text1"/>
        </w:rPr>
        <w:t>在考慮</w:t>
      </w:r>
      <w:r w:rsidRPr="00101018">
        <w:rPr>
          <w:rFonts w:ascii="楷體-繁" w:eastAsia="楷體-繁" w:hAnsi="楷體-繁"/>
          <w:color w:val="000000" w:themeColor="text1"/>
        </w:rPr>
        <w:t>採用、擴</w:t>
      </w:r>
      <w:r w:rsidRPr="00101018">
        <w:rPr>
          <w:rFonts w:ascii="楷體-繁" w:eastAsia="楷體-繁" w:hAnsi="楷體-繁" w:hint="eastAsia"/>
          <w:color w:val="000000" w:themeColor="text1"/>
        </w:rPr>
        <w:t>大</w:t>
      </w:r>
      <w:r w:rsidRPr="00101018">
        <w:rPr>
          <w:rFonts w:ascii="楷體-繁" w:eastAsia="楷體-繁" w:hAnsi="楷體-繁"/>
          <w:color w:val="000000" w:themeColor="text1"/>
        </w:rPr>
        <w:t>處方和</w:t>
      </w:r>
      <w:r w:rsidRPr="00101018">
        <w:rPr>
          <w:rFonts w:ascii="楷體-繁" w:eastAsia="楷體-繁" w:hAnsi="楷體-繁" w:hint="eastAsia"/>
          <w:color w:val="000000" w:themeColor="text1"/>
        </w:rPr>
        <w:t>持</w:t>
      </w:r>
      <w:r w:rsidRPr="00101018">
        <w:rPr>
          <w:rFonts w:ascii="楷體-繁" w:eastAsia="楷體-繁" w:hAnsi="楷體-繁"/>
          <w:color w:val="000000" w:themeColor="text1"/>
        </w:rPr>
        <w:t>續處方的比例</w:t>
      </w:r>
      <w:r w:rsidR="00C14C5C" w:rsidRPr="00101018">
        <w:rPr>
          <w:rFonts w:ascii="楷體-繁" w:eastAsia="楷體-繁" w:hAnsi="楷體-繁" w:hint="eastAsia"/>
          <w:color w:val="000000" w:themeColor="text1"/>
        </w:rPr>
        <w:t>則</w:t>
      </w:r>
      <w:r w:rsidRPr="00101018">
        <w:rPr>
          <w:rFonts w:ascii="楷體-繁" w:eastAsia="楷體-繁" w:hAnsi="楷體-繁"/>
          <w:color w:val="000000" w:themeColor="text1"/>
        </w:rPr>
        <w:t>略低。</w:t>
      </w:r>
    </w:p>
    <w:p w14:paraId="56D94726" w14:textId="566B6D48" w:rsidR="008D1F69" w:rsidRPr="00101018" w:rsidRDefault="008D1F69" w:rsidP="008D1F69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想從MR渠道（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訪、電話、郵件）獲取</w:t>
      </w:r>
      <w:r w:rsidRPr="00101018">
        <w:rPr>
          <w:rFonts w:ascii="楷體-繁" w:eastAsia="楷體-繁" w:hAnsi="楷體-繁" w:hint="eastAsia"/>
          <w:color w:val="000000" w:themeColor="text1"/>
        </w:rPr>
        <w:t>資訊的</w:t>
      </w:r>
      <w:r w:rsidRPr="00101018">
        <w:rPr>
          <w:rFonts w:ascii="楷體-繁" w:eastAsia="楷體-繁" w:hAnsi="楷體-繁"/>
          <w:color w:val="000000" w:themeColor="text1"/>
        </w:rPr>
        <w:t>比例為：認知（A）24.6%，理解（M）24.5%，考慮</w:t>
      </w:r>
      <w:r w:rsidRPr="00101018">
        <w:rPr>
          <w:rFonts w:ascii="楷體-繁" w:eastAsia="楷體-繁" w:hAnsi="楷體-繁" w:hint="eastAsia"/>
          <w:color w:val="000000" w:themeColor="text1"/>
        </w:rPr>
        <w:t>採用</w:t>
      </w:r>
      <w:r w:rsidRPr="00101018">
        <w:rPr>
          <w:rFonts w:ascii="楷體-繁" w:eastAsia="楷體-繁" w:hAnsi="楷體-繁"/>
          <w:color w:val="000000" w:themeColor="text1"/>
        </w:rPr>
        <w:t>（T）24.3%，擴</w:t>
      </w:r>
      <w:r w:rsidRPr="00101018">
        <w:rPr>
          <w:rFonts w:ascii="楷體-繁" w:eastAsia="楷體-繁" w:hAnsi="楷體-繁" w:hint="eastAsia"/>
          <w:color w:val="000000" w:themeColor="text1"/>
        </w:rPr>
        <w:t>大</w:t>
      </w:r>
      <w:r w:rsidRPr="00101018">
        <w:rPr>
          <w:rFonts w:ascii="楷體-繁" w:eastAsia="楷體-繁" w:hAnsi="楷體-繁"/>
          <w:color w:val="000000" w:themeColor="text1"/>
        </w:rPr>
        <w:t>處方(U) 21.4%，</w:t>
      </w:r>
      <w:r w:rsidRPr="00101018">
        <w:rPr>
          <w:rFonts w:ascii="楷體-繁" w:eastAsia="楷體-繁" w:hAnsi="楷體-繁" w:hint="eastAsia"/>
          <w:color w:val="000000" w:themeColor="text1"/>
        </w:rPr>
        <w:t>持</w:t>
      </w:r>
      <w:r w:rsidRPr="00101018">
        <w:rPr>
          <w:rFonts w:ascii="楷體-繁" w:eastAsia="楷體-繁" w:hAnsi="楷體-繁"/>
          <w:color w:val="000000" w:themeColor="text1"/>
        </w:rPr>
        <w:t>續處方（L）19.7%，</w:t>
      </w:r>
      <w:r w:rsidRPr="00101018">
        <w:rPr>
          <w:rFonts w:ascii="楷體-繁" w:eastAsia="楷體-繁" w:hAnsi="楷體-繁" w:hint="eastAsia"/>
          <w:color w:val="000000" w:themeColor="text1"/>
        </w:rPr>
        <w:t>在各階段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="005540A7">
        <w:rPr>
          <w:rFonts w:ascii="楷體-繁" w:eastAsia="楷體-繁" w:hAnsi="楷體-繁" w:cs="PingFang TC" w:hint="eastAsia"/>
          <w:color w:val="000000" w:themeColor="text1"/>
        </w:rPr>
        <w:t>約</w:t>
      </w:r>
      <w:r w:rsidR="00C14C5C" w:rsidRPr="00101018">
        <w:rPr>
          <w:rFonts w:ascii="楷體-繁" w:eastAsia="楷體-繁" w:hAnsi="楷體-繁" w:cs="PingFang TC" w:hint="eastAsia"/>
          <w:color w:val="000000" w:themeColor="text1"/>
        </w:rPr>
        <w:t>比</w:t>
      </w:r>
      <w:r w:rsidRPr="00101018">
        <w:rPr>
          <w:rFonts w:ascii="楷體-繁" w:eastAsia="楷體-繁" w:hAnsi="楷體-繁" w:hint="eastAsia"/>
          <w:color w:val="000000" w:themeColor="text1"/>
        </w:rPr>
        <w:t>數位系統低</w:t>
      </w:r>
      <w:r w:rsidRPr="00101018">
        <w:rPr>
          <w:rFonts w:ascii="楷體-繁" w:eastAsia="楷體-繁" w:hAnsi="楷體-繁"/>
          <w:color w:val="000000" w:themeColor="text1"/>
        </w:rPr>
        <w:t>7%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。</w:t>
      </w:r>
      <w:r w:rsidRPr="00101018">
        <w:rPr>
          <w:rFonts w:ascii="楷體-繁" w:eastAsia="楷體-繁" w:hAnsi="楷體-繁"/>
          <w:color w:val="000000" w:themeColor="text1"/>
        </w:rPr>
        <w:t>MR</w:t>
      </w:r>
      <w:r w:rsidRPr="00101018">
        <w:rPr>
          <w:rFonts w:ascii="楷體-繁" w:eastAsia="楷體-繁" w:hAnsi="楷體-繁" w:hint="eastAsia"/>
          <w:color w:val="000000" w:themeColor="text1"/>
        </w:rPr>
        <w:t>渠</w:t>
      </w:r>
      <w:r w:rsidRPr="00101018">
        <w:rPr>
          <w:rFonts w:ascii="楷體-繁" w:eastAsia="楷體-繁" w:hAnsi="楷體-繁"/>
          <w:color w:val="000000" w:themeColor="text1"/>
        </w:rPr>
        <w:t>道的特點是在認知、理解和考慮採用階段保持</w:t>
      </w:r>
      <w:r w:rsidRPr="00101018">
        <w:rPr>
          <w:rFonts w:ascii="楷體-繁" w:eastAsia="楷體-繁" w:hAnsi="楷體-繁" w:hint="eastAsia"/>
          <w:color w:val="000000" w:themeColor="text1"/>
        </w:rPr>
        <w:t>著</w:t>
      </w:r>
      <w:r w:rsidRPr="00101018">
        <w:rPr>
          <w:rFonts w:ascii="楷體-繁" w:eastAsia="楷體-繁" w:hAnsi="楷體-繁"/>
          <w:color w:val="000000" w:themeColor="text1"/>
        </w:rPr>
        <w:t>相對相同的比例，</w:t>
      </w:r>
      <w:r w:rsidRPr="00101018">
        <w:rPr>
          <w:rFonts w:ascii="楷體-繁" w:eastAsia="楷體-繁" w:hAnsi="楷體-繁" w:hint="eastAsia"/>
          <w:color w:val="000000" w:themeColor="text1"/>
        </w:rPr>
        <w:t>也可看出</w:t>
      </w:r>
      <w:r w:rsidRPr="00101018">
        <w:rPr>
          <w:rFonts w:ascii="楷體-繁" w:eastAsia="楷體-繁" w:hAnsi="楷體-繁"/>
          <w:color w:val="000000" w:themeColor="text1"/>
        </w:rPr>
        <w:t>與數</w:t>
      </w:r>
      <w:r w:rsidRPr="00101018">
        <w:rPr>
          <w:rFonts w:ascii="楷體-繁" w:eastAsia="楷體-繁" w:hAnsi="楷體-繁" w:hint="eastAsia"/>
          <w:color w:val="000000" w:themeColor="text1"/>
        </w:rPr>
        <w:t>位渠</w:t>
      </w:r>
      <w:r w:rsidRPr="00101018">
        <w:rPr>
          <w:rFonts w:ascii="楷體-繁" w:eastAsia="楷體-繁" w:hAnsi="楷體-繁"/>
          <w:color w:val="000000" w:themeColor="text1"/>
        </w:rPr>
        <w:t>道的</w:t>
      </w:r>
      <w:r w:rsidRPr="00101018">
        <w:rPr>
          <w:rFonts w:ascii="楷體-繁" w:eastAsia="楷體-繁" w:hAnsi="楷體-繁" w:hint="eastAsia"/>
          <w:color w:val="000000" w:themeColor="text1"/>
        </w:rPr>
        <w:t>不同</w:t>
      </w:r>
      <w:r w:rsidRPr="00101018">
        <w:rPr>
          <w:rFonts w:ascii="楷體-繁" w:eastAsia="楷體-繁" w:hAnsi="楷體-繁"/>
          <w:color w:val="000000" w:themeColor="text1"/>
        </w:rPr>
        <w:t>。</w:t>
      </w:r>
    </w:p>
    <w:p w14:paraId="6822317A" w14:textId="49FD2653" w:rsidR="00544542" w:rsidRPr="00101018" w:rsidRDefault="00544542" w:rsidP="008D1F69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與</w:t>
      </w:r>
      <w:r w:rsidR="00C14C5C" w:rsidRPr="00101018">
        <w:rPr>
          <w:rFonts w:ascii="楷體-繁" w:eastAsia="楷體-繁" w:hAnsi="楷體-繁" w:hint="eastAsia"/>
          <w:color w:val="000000" w:themeColor="text1"/>
        </w:rPr>
        <w:t>5</w:t>
      </w:r>
      <w:r w:rsidRPr="00101018">
        <w:rPr>
          <w:rFonts w:ascii="楷體-繁" w:eastAsia="楷體-繁" w:hAnsi="楷體-繁"/>
          <w:color w:val="000000" w:themeColor="text1"/>
        </w:rPr>
        <w:t>年前MCI在2016年4月進行的一項調查結果相比，希望從MR渠道獲取</w:t>
      </w:r>
      <w:r w:rsidRPr="00101018">
        <w:rPr>
          <w:rFonts w:ascii="楷體-繁" w:eastAsia="楷體-繁" w:hAnsi="楷體-繁" w:hint="eastAsia"/>
          <w:color w:val="000000" w:themeColor="text1"/>
        </w:rPr>
        <w:t>資訊</w:t>
      </w:r>
      <w:r w:rsidRPr="00101018">
        <w:rPr>
          <w:rFonts w:ascii="楷體-繁" w:eastAsia="楷體-繁" w:hAnsi="楷體-繁"/>
          <w:color w:val="000000" w:themeColor="text1"/>
        </w:rPr>
        <w:t>的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比例</w:t>
      </w:r>
      <w:r w:rsidRPr="00101018">
        <w:rPr>
          <w:rFonts w:ascii="楷體-繁" w:eastAsia="楷體-繁" w:hAnsi="楷體-繁"/>
          <w:color w:val="000000" w:themeColor="text1"/>
        </w:rPr>
        <w:t>在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此次調查的各</w:t>
      </w:r>
      <w:r w:rsidRPr="00101018">
        <w:rPr>
          <w:rFonts w:ascii="楷體-繁" w:eastAsia="楷體-繁" w:hAnsi="楷體-繁"/>
          <w:color w:val="000000" w:themeColor="text1"/>
        </w:rPr>
        <w:t>階段</w:t>
      </w:r>
      <w:r w:rsidR="005540A7">
        <w:rPr>
          <w:rFonts w:ascii="楷體-繁" w:eastAsia="楷體-繁" w:hAnsi="楷體-繁" w:hint="eastAsia"/>
          <w:color w:val="000000" w:themeColor="text1"/>
        </w:rPr>
        <w:t>減少</w:t>
      </w:r>
      <w:r w:rsidRPr="00101018">
        <w:rPr>
          <w:rFonts w:ascii="楷體-繁" w:eastAsia="楷體-繁" w:hAnsi="楷體-繁"/>
          <w:color w:val="000000" w:themeColor="text1"/>
        </w:rPr>
        <w:t>約7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~</w:t>
      </w:r>
      <w:r w:rsidRPr="00101018">
        <w:rPr>
          <w:rFonts w:ascii="楷體-繁" w:eastAsia="楷體-繁" w:hAnsi="楷體-繁"/>
          <w:color w:val="000000" w:themeColor="text1"/>
        </w:rPr>
        <w:t>8</w:t>
      </w:r>
      <w:r w:rsidR="00ED6A92" w:rsidRPr="00101018">
        <w:rPr>
          <w:rFonts w:ascii="楷體-繁" w:eastAsia="楷體-繁" w:hAnsi="楷體-繁"/>
          <w:color w:val="000000" w:themeColor="text1"/>
        </w:rPr>
        <w:t>%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="00ED6A92" w:rsidRPr="00101018">
        <w:rPr>
          <w:rFonts w:ascii="楷體-繁" w:eastAsia="楷體-繁" w:hAnsi="楷體-繁"/>
          <w:color w:val="000000" w:themeColor="text1"/>
        </w:rPr>
        <w:t>另一方面，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由於</w:t>
      </w:r>
      <w:r w:rsidR="00ED6A92" w:rsidRPr="00101018">
        <w:rPr>
          <w:rFonts w:ascii="楷體-繁" w:eastAsia="楷體-繁" w:hAnsi="楷體-繁"/>
          <w:color w:val="000000" w:themeColor="text1"/>
        </w:rPr>
        <w:t>網路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研討會</w:t>
      </w:r>
      <w:r w:rsidR="00ED6A92" w:rsidRPr="00101018">
        <w:rPr>
          <w:rFonts w:ascii="楷體-繁" w:eastAsia="楷體-繁" w:hAnsi="楷體-繁"/>
          <w:color w:val="000000" w:themeColor="text1"/>
        </w:rPr>
        <w:t>的增長導致MR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渠</w:t>
      </w:r>
      <w:r w:rsidR="00ED6A92" w:rsidRPr="00101018">
        <w:rPr>
          <w:rFonts w:ascii="楷體-繁" w:eastAsia="楷體-繁" w:hAnsi="楷體-繁"/>
          <w:color w:val="000000" w:themeColor="text1"/>
        </w:rPr>
        <w:t>道和數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位渠</w:t>
      </w:r>
      <w:r w:rsidR="00ED6A92" w:rsidRPr="00101018">
        <w:rPr>
          <w:rFonts w:ascii="楷體-繁" w:eastAsia="楷體-繁" w:hAnsi="楷體-繁"/>
          <w:color w:val="000000" w:themeColor="text1"/>
        </w:rPr>
        <w:t>道的</w:t>
      </w:r>
      <w:r w:rsidR="00ED6A92" w:rsidRPr="00101018">
        <w:rPr>
          <w:rFonts w:ascii="楷體-繁" w:eastAsia="楷體-繁" w:hAnsi="楷體-繁" w:hint="eastAsia"/>
          <w:color w:val="000000" w:themeColor="text1"/>
        </w:rPr>
        <w:t>首位逆轉</w:t>
      </w:r>
      <w:r w:rsidR="00ED6A92" w:rsidRPr="00101018">
        <w:rPr>
          <w:rFonts w:ascii="楷體-繁" w:eastAsia="楷體-繁" w:hAnsi="楷體-繁"/>
          <w:color w:val="000000" w:themeColor="text1"/>
        </w:rPr>
        <w:t>。</w:t>
      </w:r>
    </w:p>
    <w:p w14:paraId="1042673D" w14:textId="008972FF" w:rsidR="0067370E" w:rsidRPr="00101018" w:rsidRDefault="0067370E" w:rsidP="0067370E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Style w:val="a5"/>
          <w:rFonts w:ascii="楷體-繁" w:eastAsia="楷體-繁" w:hAnsi="楷體-繁"/>
          <w:color w:val="000000" w:themeColor="text1"/>
        </w:rPr>
        <w:t>◎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僅透過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MR（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面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訪、電話）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可維持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20%</w:t>
      </w:r>
    </w:p>
    <w:p w14:paraId="1D049F93" w14:textId="50330877" w:rsidR="008C1E40" w:rsidRPr="00101018" w:rsidRDefault="00C14C5C" w:rsidP="00443DC0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hint="eastAsia"/>
          <w:color w:val="000000" w:themeColor="text1"/>
        </w:rPr>
        <w:t>但是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從最小單位的</w:t>
      </w:r>
      <w:r w:rsidRPr="00101018">
        <w:rPr>
          <w:rFonts w:ascii="楷體-繁" w:eastAsia="楷體-繁" w:hAnsi="楷體-繁" w:cs="PingFang TC"/>
          <w:color w:val="000000" w:themeColor="text1"/>
        </w:rPr>
        <w:t>13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個渠道來看，「</w:t>
      </w:r>
      <w:r w:rsidRPr="00101018">
        <w:rPr>
          <w:rFonts w:ascii="楷體-繁" w:eastAsia="楷體-繁" w:hAnsi="楷體-繁"/>
          <w:color w:val="000000" w:themeColor="text1"/>
        </w:rPr>
        <w:t>MR（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認知（A）</w:t>
      </w:r>
      <w:r w:rsidR="005540A7" w:rsidRPr="00101018">
        <w:rPr>
          <w:rFonts w:ascii="楷體-繁" w:eastAsia="楷體-繁" w:hAnsi="楷體-繁" w:cs="PingFang TC" w:hint="eastAsia"/>
          <w:color w:val="000000" w:themeColor="text1"/>
        </w:rPr>
        <w:t>、</w:t>
      </w:r>
      <w:r w:rsidRPr="00101018">
        <w:rPr>
          <w:rFonts w:ascii="楷體-繁" w:eastAsia="楷體-繁" w:hAnsi="楷體-繁"/>
          <w:color w:val="000000" w:themeColor="text1"/>
        </w:rPr>
        <w:t>理解（M）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、</w:t>
      </w:r>
      <w:r w:rsidRPr="00101018">
        <w:rPr>
          <w:rFonts w:ascii="楷體-繁" w:eastAsia="楷體-繁" w:hAnsi="楷體-繁"/>
          <w:color w:val="000000" w:themeColor="text1"/>
        </w:rPr>
        <w:t>考慮</w:t>
      </w:r>
      <w:r w:rsidRPr="00101018">
        <w:rPr>
          <w:rFonts w:ascii="楷體-繁" w:eastAsia="楷體-繁" w:hAnsi="楷體-繁" w:hint="eastAsia"/>
          <w:color w:val="000000" w:themeColor="text1"/>
        </w:rPr>
        <w:t>採用</w:t>
      </w:r>
      <w:r w:rsidRPr="00101018">
        <w:rPr>
          <w:rFonts w:ascii="楷體-繁" w:eastAsia="楷體-繁" w:hAnsi="楷體-繁"/>
          <w:color w:val="000000" w:themeColor="text1"/>
        </w:rPr>
        <w:t>（T）</w:t>
      </w:r>
      <w:r w:rsidRPr="00101018">
        <w:rPr>
          <w:rFonts w:ascii="楷體-繁" w:eastAsia="楷體-繁" w:hAnsi="楷體-繁" w:hint="eastAsia"/>
          <w:color w:val="000000" w:themeColor="text1"/>
        </w:rPr>
        <w:t>等</w:t>
      </w:r>
      <w:r w:rsidRPr="00101018">
        <w:rPr>
          <w:rFonts w:ascii="楷體-繁" w:eastAsia="楷體-繁" w:hAnsi="楷體-繁"/>
          <w:color w:val="000000" w:themeColor="text1"/>
        </w:rPr>
        <w:t>3</w:t>
      </w:r>
      <w:r w:rsidRPr="00101018">
        <w:rPr>
          <w:rFonts w:ascii="楷體-繁" w:eastAsia="楷體-繁" w:hAnsi="楷體-繁" w:hint="eastAsia"/>
          <w:color w:val="000000" w:themeColor="text1"/>
        </w:rPr>
        <w:t>個階段各保持</w:t>
      </w:r>
      <w:r w:rsidRPr="00101018">
        <w:rPr>
          <w:rFonts w:ascii="楷體-繁" w:eastAsia="楷體-繁" w:hAnsi="楷體-繁"/>
          <w:color w:val="000000" w:themeColor="text1"/>
        </w:rPr>
        <w:t>20%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超過「</w:t>
      </w:r>
      <w:r w:rsidRPr="00101018">
        <w:rPr>
          <w:rFonts w:ascii="楷體-繁" w:eastAsia="楷體-繁" w:hAnsi="楷體-繁" w:hint="eastAsia"/>
          <w:color w:val="000000" w:themeColor="text1"/>
        </w:rPr>
        <w:t>互聯網</w:t>
      </w:r>
      <w:r w:rsidRPr="00101018">
        <w:rPr>
          <w:rFonts w:ascii="楷體-繁" w:eastAsia="楷體-繁" w:hAnsi="楷體-繁"/>
          <w:color w:val="000000" w:themeColor="text1"/>
        </w:rPr>
        <w:t>網站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 w:hint="eastAsia"/>
          <w:color w:val="000000" w:themeColor="text1"/>
        </w:rPr>
        <w:t>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/>
          <w:color w:val="000000" w:themeColor="text1"/>
        </w:rPr>
        <w:t>網路</w:t>
      </w:r>
      <w:r w:rsidRPr="00101018">
        <w:rPr>
          <w:rFonts w:ascii="楷體-繁" w:eastAsia="楷體-繁" w:hAnsi="楷體-繁" w:hint="eastAsia"/>
          <w:color w:val="000000" w:themeColor="text1"/>
        </w:rPr>
        <w:t>研討會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」，居首位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Pr="00101018">
        <w:rPr>
          <w:rFonts w:ascii="楷體-繁" w:eastAsia="楷體-繁" w:hAnsi="楷體-繁" w:hint="eastAsia"/>
          <w:color w:val="000000" w:themeColor="text1"/>
        </w:rPr>
        <w:t>相對於數位渠道整體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MR</w:t>
      </w:r>
      <w:r w:rsidRPr="00101018">
        <w:rPr>
          <w:rFonts w:ascii="楷體-繁" w:eastAsia="楷體-繁" w:hAnsi="楷體-繁" w:hint="eastAsia"/>
          <w:color w:val="000000" w:themeColor="text1"/>
        </w:rPr>
        <w:t>渠道雖然落後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，但是「</w:t>
      </w:r>
      <w:r w:rsidRPr="00101018">
        <w:rPr>
          <w:rFonts w:ascii="楷體-繁" w:eastAsia="楷體-繁" w:hAnsi="楷體-繁"/>
          <w:color w:val="000000" w:themeColor="text1"/>
        </w:rPr>
        <w:t>MR（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」的影響力仍處於高水平</w:t>
      </w:r>
      <w:r w:rsidRPr="00101018">
        <w:rPr>
          <w:rFonts w:ascii="楷體-繁" w:eastAsia="楷體-繁" w:hAnsi="楷體-繁" w:cs="PingFang TC"/>
          <w:color w:val="000000" w:themeColor="text1"/>
        </w:rPr>
        <w:t>。</w:t>
      </w:r>
    </w:p>
    <w:p w14:paraId="7DDBFF20" w14:textId="75016A64" w:rsidR="00BC53F8" w:rsidRPr="00101018" w:rsidRDefault="00BC53F8" w:rsidP="00836AE7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Style w:val="a5"/>
          <w:rFonts w:ascii="楷體-繁" w:eastAsia="楷體-繁" w:hAnsi="楷體-繁"/>
          <w:color w:val="000000" w:themeColor="text1"/>
        </w:rPr>
        <w:t>◎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在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GP</w:t>
      </w:r>
      <w:r w:rsidR="00920420" w:rsidRPr="00101018">
        <w:rPr>
          <w:rFonts w:ascii="楷體-繁" w:eastAsia="楷體-繁" w:hAnsi="楷體-繁" w:hint="eastAsia"/>
          <w:b/>
          <w:bCs/>
          <w:color w:val="000000" w:themeColor="text1"/>
        </w:rPr>
        <w:t>市場</w:t>
      </w:r>
      <w:r w:rsidR="00920420" w:rsidRPr="00101018">
        <w:rPr>
          <w:rFonts w:ascii="楷體-繁" w:eastAsia="楷體-繁" w:hAnsi="楷體-繁" w:cs="PingFang TC"/>
          <w:b/>
          <w:bCs/>
          <w:color w:val="000000" w:themeColor="text1"/>
        </w:rPr>
        <w:t>，</w:t>
      </w:r>
      <w:r w:rsidR="00920420" w:rsidRPr="00101018">
        <w:rPr>
          <w:rFonts w:ascii="楷體-繁" w:eastAsia="楷體-繁" w:hAnsi="楷體-繁"/>
          <w:b/>
          <w:bCs/>
          <w:color w:val="000000" w:themeColor="text1"/>
        </w:rPr>
        <w:t>考慮</w:t>
      </w:r>
      <w:r w:rsidR="00920420" w:rsidRPr="00101018">
        <w:rPr>
          <w:rFonts w:ascii="楷體-繁" w:eastAsia="楷體-繁" w:hAnsi="楷體-繁" w:hint="eastAsia"/>
          <w:b/>
          <w:bCs/>
          <w:color w:val="000000" w:themeColor="text1"/>
        </w:rPr>
        <w:t>採用時</w:t>
      </w:r>
      <w:r w:rsidR="00920420"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，數位渠道</w:t>
      </w:r>
      <w:r w:rsidR="00920420" w:rsidRPr="00101018">
        <w:rPr>
          <w:rFonts w:ascii="楷體-繁" w:eastAsia="楷體-繁" w:hAnsi="楷體-繁" w:cs="PingFang TC"/>
          <w:b/>
          <w:bCs/>
          <w:color w:val="000000" w:themeColor="text1"/>
        </w:rPr>
        <w:t>31.7%</w:t>
      </w:r>
      <w:r w:rsidR="00920420"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，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MR</w:t>
      </w:r>
      <w:r w:rsidR="00920420" w:rsidRPr="00101018">
        <w:rPr>
          <w:rFonts w:ascii="楷體-繁" w:eastAsia="楷體-繁" w:hAnsi="楷體-繁" w:hint="eastAsia"/>
          <w:b/>
          <w:bCs/>
          <w:color w:val="000000" w:themeColor="text1"/>
        </w:rPr>
        <w:t>渠道</w:t>
      </w:r>
      <w:r w:rsidR="00920420" w:rsidRPr="00101018">
        <w:rPr>
          <w:rFonts w:ascii="楷體-繁" w:eastAsia="楷體-繁" w:hAnsi="楷體-繁"/>
          <w:b/>
          <w:bCs/>
          <w:color w:val="000000" w:themeColor="text1"/>
        </w:rPr>
        <w:t>30.4%</w:t>
      </w:r>
    </w:p>
    <w:p w14:paraId="10788A83" w14:textId="64A3107E" w:rsidR="00920420" w:rsidRPr="00101018" w:rsidRDefault="00920420" w:rsidP="005540A7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G</w:t>
      </w:r>
      <w:r w:rsidRPr="00101018">
        <w:rPr>
          <w:rFonts w:ascii="楷體-繁" w:eastAsia="楷體-繁" w:hAnsi="楷體-繁" w:cs="PingFang TC"/>
          <w:color w:val="000000" w:themeColor="text1"/>
        </w:rPr>
        <w:t>P/HP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個別來看</w:t>
      </w:r>
      <w:r w:rsidR="005739FD"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GP希望從MR渠道（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訪、電話、郵件）收集資訊的比例為</w:t>
      </w:r>
      <w:r w:rsidRPr="00101018">
        <w:rPr>
          <w:rFonts w:ascii="楷體-繁" w:eastAsia="楷體-繁" w:hAnsi="楷體-繁" w:cs="Songti TC" w:hint="eastAsia"/>
          <w:color w:val="000000" w:themeColor="text1"/>
        </w:rPr>
        <w:t>：</w:t>
      </w:r>
      <w:r w:rsidRPr="00101018">
        <w:rPr>
          <w:rFonts w:ascii="楷體-繁" w:eastAsia="楷體-繁" w:hAnsi="楷體-繁"/>
          <w:color w:val="000000" w:themeColor="text1"/>
        </w:rPr>
        <w:t>認知（A）31.1%、理解（M）30.1%、考慮</w:t>
      </w:r>
      <w:r w:rsidRPr="00101018">
        <w:rPr>
          <w:rFonts w:ascii="楷體-繁" w:eastAsia="楷體-繁" w:hAnsi="楷體-繁" w:hint="eastAsia"/>
          <w:color w:val="000000" w:themeColor="text1"/>
        </w:rPr>
        <w:t>採用</w:t>
      </w:r>
      <w:r w:rsidRPr="00101018">
        <w:rPr>
          <w:rFonts w:ascii="楷體-繁" w:eastAsia="楷體-繁" w:hAnsi="楷體-繁"/>
          <w:color w:val="000000" w:themeColor="text1"/>
        </w:rPr>
        <w:t>（T）30.4%、擴大處方（U）26.9%、持續處方（L）27.9%，特別是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/>
          <w:color w:val="000000" w:themeColor="text1"/>
        </w:rPr>
        <w:t>MR（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的需求</w:t>
      </w:r>
      <w:r w:rsidRPr="00101018">
        <w:rPr>
          <w:rFonts w:ascii="楷體-繁" w:eastAsia="楷體-繁" w:hAnsi="楷體-繁" w:hint="eastAsia"/>
          <w:color w:val="000000" w:themeColor="text1"/>
        </w:rPr>
        <w:t>很</w:t>
      </w:r>
      <w:r w:rsidRPr="00101018">
        <w:rPr>
          <w:rFonts w:ascii="楷體-繁" w:eastAsia="楷體-繁" w:hAnsi="楷體-繁"/>
          <w:color w:val="000000" w:themeColor="text1"/>
        </w:rPr>
        <w:t>高。</w:t>
      </w:r>
      <w:r w:rsidRPr="00101018">
        <w:rPr>
          <w:rFonts w:ascii="楷體-繁" w:eastAsia="楷體-繁" w:hAnsi="楷體-繁" w:hint="eastAsia"/>
          <w:color w:val="000000" w:themeColor="text1"/>
        </w:rPr>
        <w:t>但是數位渠道</w:t>
      </w:r>
      <w:r w:rsidRPr="00101018">
        <w:rPr>
          <w:rFonts w:ascii="楷體-繁" w:eastAsia="楷體-繁" w:hAnsi="楷體-繁"/>
          <w:color w:val="000000" w:themeColor="text1"/>
        </w:rPr>
        <w:t>（</w:t>
      </w:r>
      <w:r w:rsidRPr="00101018">
        <w:rPr>
          <w:rFonts w:ascii="楷體-繁" w:eastAsia="楷體-繁" w:hAnsi="楷體-繁" w:hint="eastAsia"/>
          <w:color w:val="000000" w:themeColor="text1"/>
        </w:rPr>
        <w:t>互聯網</w:t>
      </w:r>
      <w:r w:rsidRPr="00101018">
        <w:rPr>
          <w:rFonts w:ascii="楷體-繁" w:eastAsia="楷體-繁" w:hAnsi="楷體-繁"/>
          <w:color w:val="000000" w:themeColor="text1"/>
        </w:rPr>
        <w:t>網站、網路</w:t>
      </w:r>
      <w:r w:rsidRPr="00101018">
        <w:rPr>
          <w:rFonts w:ascii="楷體-繁" w:eastAsia="楷體-繁" w:hAnsi="楷體-繁" w:hint="eastAsia"/>
          <w:color w:val="000000" w:themeColor="text1"/>
        </w:rPr>
        <w:t>研討會</w:t>
      </w:r>
      <w:r w:rsidRPr="00101018">
        <w:rPr>
          <w:rFonts w:ascii="楷體-繁" w:eastAsia="楷體-繁" w:hAnsi="楷體-繁"/>
          <w:color w:val="000000" w:themeColor="text1"/>
        </w:rPr>
        <w:t>）</w:t>
      </w: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5</w:t>
      </w:r>
      <w:r w:rsidRPr="00101018">
        <w:rPr>
          <w:rFonts w:ascii="楷體-繁" w:eastAsia="楷體-繁" w:hAnsi="楷體-繁" w:hint="eastAsia"/>
          <w:color w:val="000000" w:themeColor="text1"/>
        </w:rPr>
        <w:t>個階段全都超過</w:t>
      </w:r>
      <w:r w:rsidRPr="00101018">
        <w:rPr>
          <w:rFonts w:ascii="楷體-繁" w:eastAsia="楷體-繁" w:hAnsi="楷體-繁"/>
          <w:color w:val="000000" w:themeColor="text1"/>
        </w:rPr>
        <w:t>MR渠道（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訪、電話、郵件）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認知（A）32.3%、理解（M）33.3%、考慮</w:t>
      </w:r>
      <w:r w:rsidRPr="00101018">
        <w:rPr>
          <w:rFonts w:ascii="楷體-繁" w:eastAsia="楷體-繁" w:hAnsi="楷體-繁" w:hint="eastAsia"/>
          <w:color w:val="000000" w:themeColor="text1"/>
        </w:rPr>
        <w:lastRenderedPageBreak/>
        <w:t>採用</w:t>
      </w:r>
      <w:r w:rsidRPr="00101018">
        <w:rPr>
          <w:rFonts w:ascii="楷體-繁" w:eastAsia="楷體-繁" w:hAnsi="楷體-繁"/>
          <w:color w:val="000000" w:themeColor="text1"/>
        </w:rPr>
        <w:t>（T）31.7%、擴大處方（U）30.7%、持續處方（L）29.2%。</w:t>
      </w:r>
    </w:p>
    <w:p w14:paraId="5EBC973A" w14:textId="3DFE3667" w:rsidR="00836AE7" w:rsidRPr="00101018" w:rsidRDefault="00836AE7" w:rsidP="005540A7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Style w:val="a5"/>
          <w:rFonts w:ascii="楷體-繁" w:eastAsia="楷體-繁" w:hAnsi="楷體-繁"/>
          <w:color w:val="000000" w:themeColor="text1"/>
        </w:rPr>
        <w:t>◎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在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HP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市場</w:t>
      </w:r>
      <w:r w:rsidRPr="00101018">
        <w:rPr>
          <w:rFonts w:ascii="楷體-繁" w:eastAsia="楷體-繁" w:hAnsi="楷體-繁" w:cs="PingFang TC"/>
          <w:b/>
          <w:bCs/>
          <w:color w:val="000000" w:themeColor="text1"/>
        </w:rPr>
        <w:t>，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持續處方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時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，「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學會(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包括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學會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雜誌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)</w:t>
      </w:r>
      <w:r w:rsidRPr="00101018">
        <w:rPr>
          <w:rFonts w:ascii="楷體-繁" w:eastAsia="楷體-繁" w:hAnsi="楷體-繁" w:cs="PingFang TC" w:hint="eastAsia"/>
          <w:b/>
          <w:bCs/>
          <w:color w:val="000000" w:themeColor="text1"/>
        </w:rPr>
        <w:t>」超過</w:t>
      </w:r>
      <w:r w:rsidRPr="00101018">
        <w:rPr>
          <w:rFonts w:ascii="楷體-繁" w:eastAsia="楷體-繁" w:hAnsi="楷體-繁"/>
          <w:b/>
          <w:bCs/>
          <w:color w:val="000000" w:themeColor="text1"/>
        </w:rPr>
        <w:t>MR</w:t>
      </w:r>
      <w:r w:rsidRPr="00101018">
        <w:rPr>
          <w:rFonts w:ascii="楷體-繁" w:eastAsia="楷體-繁" w:hAnsi="楷體-繁" w:hint="eastAsia"/>
          <w:b/>
          <w:bCs/>
          <w:color w:val="000000" w:themeColor="text1"/>
        </w:rPr>
        <w:t>渠道</w:t>
      </w:r>
    </w:p>
    <w:p w14:paraId="09A62FC4" w14:textId="6F03FF50" w:rsidR="00180B77" w:rsidRPr="00101018" w:rsidRDefault="00180B77" w:rsidP="005540A7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在</w:t>
      </w:r>
      <w:r w:rsidRPr="00101018">
        <w:rPr>
          <w:rFonts w:ascii="楷體-繁" w:eastAsia="楷體-繁" w:hAnsi="楷體-繁" w:cs="PingFang TC"/>
          <w:color w:val="000000" w:themeColor="text1"/>
        </w:rPr>
        <w:t>HP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Pr="00101018">
        <w:rPr>
          <w:rFonts w:ascii="楷體-繁" w:eastAsia="楷體-繁" w:hAnsi="楷體-繁"/>
          <w:color w:val="000000" w:themeColor="text1"/>
        </w:rPr>
        <w:t>希望從MR渠道（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訪、電話、郵件）</w:t>
      </w:r>
      <w:r w:rsidR="000864EC" w:rsidRPr="00101018">
        <w:rPr>
          <w:rFonts w:ascii="楷體-繁" w:eastAsia="楷體-繁" w:hAnsi="楷體-繁"/>
          <w:color w:val="000000" w:themeColor="text1"/>
        </w:rPr>
        <w:t>獲取資訊的比例為</w:t>
      </w:r>
      <w:r w:rsidR="000864EC" w:rsidRPr="00101018">
        <w:rPr>
          <w:rFonts w:ascii="楷體-繁" w:eastAsia="楷體-繁" w:hAnsi="楷體-繁" w:cs="Songti TC" w:hint="eastAsia"/>
          <w:color w:val="000000" w:themeColor="text1"/>
        </w:rPr>
        <w:t>：</w:t>
      </w:r>
      <w:r w:rsidR="000864EC" w:rsidRPr="00101018">
        <w:rPr>
          <w:rFonts w:ascii="楷體-繁" w:eastAsia="楷體-繁" w:hAnsi="楷體-繁"/>
          <w:color w:val="000000" w:themeColor="text1"/>
        </w:rPr>
        <w:t>認知（A）2</w:t>
      </w:r>
      <w:r w:rsidR="000864EC" w:rsidRPr="00101018">
        <w:rPr>
          <w:rFonts w:ascii="楷體-繁" w:eastAsia="楷體-繁" w:hAnsi="楷體-繁" w:hint="eastAsia"/>
          <w:color w:val="000000" w:themeColor="text1"/>
        </w:rPr>
        <w:t>2</w:t>
      </w:r>
      <w:r w:rsidR="000864EC" w:rsidRPr="00101018">
        <w:rPr>
          <w:rFonts w:ascii="楷體-繁" w:eastAsia="楷體-繁" w:hAnsi="楷體-繁"/>
          <w:color w:val="000000" w:themeColor="text1"/>
        </w:rPr>
        <w:t>.8%、理解（M）22.9%、考慮</w:t>
      </w:r>
      <w:r w:rsidR="000864EC" w:rsidRPr="00101018">
        <w:rPr>
          <w:rFonts w:ascii="楷體-繁" w:eastAsia="楷體-繁" w:hAnsi="楷體-繁" w:hint="eastAsia"/>
          <w:color w:val="000000" w:themeColor="text1"/>
        </w:rPr>
        <w:t>採用</w:t>
      </w:r>
      <w:r w:rsidR="000864EC" w:rsidRPr="00101018">
        <w:rPr>
          <w:rFonts w:ascii="楷體-繁" w:eastAsia="楷體-繁" w:hAnsi="楷體-繁"/>
          <w:color w:val="000000" w:themeColor="text1"/>
        </w:rPr>
        <w:t>（T）28.6%、擴大處方（U）19.6%、持續處方（L）17.3%</w:t>
      </w:r>
      <w:r w:rsidR="000864EC" w:rsidRPr="00101018">
        <w:rPr>
          <w:rFonts w:ascii="楷體-繁" w:eastAsia="楷體-繁" w:hAnsi="楷體-繁" w:cs="PingFang TC" w:hint="eastAsia"/>
          <w:color w:val="000000" w:themeColor="text1"/>
        </w:rPr>
        <w:t>。</w:t>
      </w:r>
      <w:r w:rsidR="0077613F" w:rsidRPr="00101018">
        <w:rPr>
          <w:rFonts w:ascii="楷體-繁" w:eastAsia="楷體-繁" w:hAnsi="楷體-繁" w:cs="PingFang TC" w:hint="eastAsia"/>
          <w:color w:val="000000" w:themeColor="text1"/>
        </w:rPr>
        <w:t>從</w:t>
      </w:r>
      <w:r w:rsidR="0077613F" w:rsidRPr="00101018">
        <w:rPr>
          <w:rFonts w:ascii="楷體-繁" w:eastAsia="楷體-繁" w:hAnsi="楷體-繁" w:hint="eastAsia"/>
          <w:color w:val="000000" w:themeColor="text1"/>
        </w:rPr>
        <w:t>數位渠道來看</w:t>
      </w:r>
      <w:r w:rsidR="0077613F" w:rsidRPr="00101018">
        <w:rPr>
          <w:rFonts w:ascii="楷體-繁" w:eastAsia="楷體-繁" w:hAnsi="楷體-繁" w:cs="PingFang TC" w:hint="eastAsia"/>
          <w:color w:val="000000" w:themeColor="text1"/>
        </w:rPr>
        <w:t>，</w:t>
      </w:r>
      <w:r w:rsidR="0077613F" w:rsidRPr="00101018">
        <w:rPr>
          <w:rFonts w:ascii="楷體-繁" w:eastAsia="楷體-繁" w:hAnsi="楷體-繁"/>
          <w:color w:val="000000" w:themeColor="text1"/>
        </w:rPr>
        <w:t>認知（A）31.8%、理解（M）30.8%、考慮</w:t>
      </w:r>
      <w:r w:rsidR="0077613F" w:rsidRPr="00101018">
        <w:rPr>
          <w:rFonts w:ascii="楷體-繁" w:eastAsia="楷體-繁" w:hAnsi="楷體-繁" w:hint="eastAsia"/>
          <w:color w:val="000000" w:themeColor="text1"/>
        </w:rPr>
        <w:t>採用</w:t>
      </w:r>
      <w:r w:rsidR="0077613F" w:rsidRPr="00101018">
        <w:rPr>
          <w:rFonts w:ascii="楷體-繁" w:eastAsia="楷體-繁" w:hAnsi="楷體-繁"/>
          <w:color w:val="000000" w:themeColor="text1"/>
        </w:rPr>
        <w:t>（T）28.6%、擴大處方（U）28.3%、持續處方（L）</w:t>
      </w:r>
      <w:r w:rsidR="0077613F" w:rsidRPr="00101018">
        <w:rPr>
          <w:rFonts w:ascii="楷體-繁" w:eastAsia="楷體-繁" w:hAnsi="楷體-繁" w:hint="eastAsia"/>
          <w:color w:val="000000" w:themeColor="text1"/>
        </w:rPr>
        <w:t>2</w:t>
      </w:r>
      <w:r w:rsidR="0077613F" w:rsidRPr="00101018">
        <w:rPr>
          <w:rFonts w:ascii="楷體-繁" w:eastAsia="楷體-繁" w:hAnsi="楷體-繁"/>
          <w:color w:val="000000" w:themeColor="text1"/>
        </w:rPr>
        <w:t>7.0%</w:t>
      </w:r>
      <w:r w:rsidR="0077613F" w:rsidRPr="00101018">
        <w:rPr>
          <w:rFonts w:ascii="楷體-繁" w:eastAsia="楷體-繁" w:hAnsi="楷體-繁" w:cs="PingFang TC"/>
          <w:color w:val="000000" w:themeColor="text1"/>
        </w:rPr>
        <w:t>，</w:t>
      </w:r>
      <w:r w:rsidR="0077613F" w:rsidRPr="00101018">
        <w:rPr>
          <w:rFonts w:ascii="楷體-繁" w:eastAsia="楷體-繁" w:hAnsi="楷體-繁"/>
          <w:color w:val="000000" w:themeColor="text1"/>
        </w:rPr>
        <w:t>在每個階段都超過MR渠道約</w:t>
      </w:r>
      <w:r w:rsidR="0077613F" w:rsidRPr="00101018">
        <w:rPr>
          <w:rFonts w:ascii="楷體-繁" w:eastAsia="楷體-繁" w:hAnsi="楷體-繁" w:hint="eastAsia"/>
          <w:color w:val="000000" w:themeColor="text1"/>
        </w:rPr>
        <w:t>4</w:t>
      </w:r>
      <w:r w:rsidR="0077613F" w:rsidRPr="00101018">
        <w:rPr>
          <w:rFonts w:ascii="楷體-繁" w:eastAsia="楷體-繁" w:hAnsi="楷體-繁"/>
          <w:color w:val="000000" w:themeColor="text1"/>
        </w:rPr>
        <w:t xml:space="preserve">% </w:t>
      </w:r>
      <w:r w:rsidR="0077613F" w:rsidRPr="00101018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51CFD67F" w14:textId="530B49D7" w:rsidR="005C0CD1" w:rsidRPr="00101018" w:rsidRDefault="005C0CD1" w:rsidP="0077613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101018">
        <w:rPr>
          <w:rFonts w:ascii="楷體-繁" w:eastAsia="楷體-繁" w:hAnsi="楷體-繁"/>
          <w:color w:val="000000" w:themeColor="text1"/>
        </w:rPr>
        <w:t>不過，即便是在HP，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/>
          <w:color w:val="000000" w:themeColor="text1"/>
        </w:rPr>
        <w:t>MR（</w:t>
      </w:r>
      <w:r w:rsidRPr="00101018">
        <w:rPr>
          <w:rFonts w:ascii="楷體-繁" w:eastAsia="楷體-繁" w:hAnsi="楷體-繁" w:hint="eastAsia"/>
          <w:color w:val="000000" w:themeColor="text1"/>
        </w:rPr>
        <w:t>面</w:t>
      </w:r>
      <w:r w:rsidRPr="00101018">
        <w:rPr>
          <w:rFonts w:ascii="楷體-繁" w:eastAsia="楷體-繁" w:hAnsi="楷體-繁"/>
          <w:color w:val="000000" w:themeColor="text1"/>
        </w:rPr>
        <w:t>訪、電話）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在認知（A）及理解（M）階段</w:t>
      </w:r>
      <w:r w:rsidRPr="00101018">
        <w:rPr>
          <w:rFonts w:ascii="楷體-繁" w:eastAsia="楷體-繁" w:hAnsi="楷體-繁" w:hint="eastAsia"/>
          <w:color w:val="000000" w:themeColor="text1"/>
        </w:rPr>
        <w:t>僅略微超過排名第二的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Pr="00101018">
        <w:rPr>
          <w:rFonts w:ascii="楷體-繁" w:eastAsia="楷體-繁" w:hAnsi="楷體-繁" w:hint="eastAsia"/>
          <w:color w:val="000000" w:themeColor="text1"/>
        </w:rPr>
        <w:t>互聯網</w:t>
      </w:r>
      <w:r w:rsidRPr="00101018">
        <w:rPr>
          <w:rFonts w:ascii="楷體-繁" w:eastAsia="楷體-繁" w:hAnsi="楷體-繁"/>
          <w:color w:val="000000" w:themeColor="text1"/>
        </w:rPr>
        <w:t>網站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考慮</w:t>
      </w:r>
      <w:r w:rsidRPr="00101018">
        <w:rPr>
          <w:rFonts w:ascii="楷體-繁" w:eastAsia="楷體-繁" w:hAnsi="楷體-繁" w:hint="eastAsia"/>
          <w:color w:val="000000" w:themeColor="text1"/>
        </w:rPr>
        <w:t>採用</w:t>
      </w:r>
      <w:r w:rsidRPr="00101018">
        <w:rPr>
          <w:rFonts w:ascii="楷體-繁" w:eastAsia="楷體-繁" w:hAnsi="楷體-繁"/>
          <w:color w:val="000000" w:themeColor="text1"/>
        </w:rPr>
        <w:t>（T）</w:t>
      </w:r>
      <w:r w:rsidR="00DA404F" w:rsidRPr="00101018">
        <w:rPr>
          <w:rFonts w:ascii="楷體-繁" w:eastAsia="楷體-繁" w:hAnsi="楷體-繁" w:hint="eastAsia"/>
          <w:color w:val="000000" w:themeColor="text1"/>
        </w:rPr>
        <w:t>階段</w:t>
      </w:r>
      <w:r w:rsidR="00DA404F" w:rsidRPr="00101018">
        <w:rPr>
          <w:rFonts w:ascii="楷體-繁" w:eastAsia="楷體-繁" w:hAnsi="楷體-繁" w:cs="PingFang TC"/>
          <w:color w:val="000000" w:themeColor="text1"/>
        </w:rPr>
        <w:t>，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則與排名第二的「</w:t>
      </w:r>
      <w:r w:rsidR="00DA404F" w:rsidRPr="00101018">
        <w:rPr>
          <w:rFonts w:ascii="楷體-繁" w:eastAsia="楷體-繁" w:hAnsi="楷體-繁" w:hint="eastAsia"/>
          <w:color w:val="000000" w:themeColor="text1"/>
        </w:rPr>
        <w:t>互聯網</w:t>
      </w:r>
      <w:r w:rsidR="00DA404F" w:rsidRPr="00101018">
        <w:rPr>
          <w:rFonts w:ascii="楷體-繁" w:eastAsia="楷體-繁" w:hAnsi="楷體-繁"/>
          <w:color w:val="000000" w:themeColor="text1"/>
        </w:rPr>
        <w:t>網站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」以</w:t>
      </w:r>
      <w:r w:rsidR="00DA404F" w:rsidRPr="00101018">
        <w:rPr>
          <w:rFonts w:ascii="楷體-繁" w:eastAsia="楷體-繁" w:hAnsi="楷體-繁" w:cs="PingFang TC"/>
          <w:color w:val="000000" w:themeColor="text1"/>
        </w:rPr>
        <w:t>2.6%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之差位居首位</w:t>
      </w:r>
      <w:r w:rsidR="00DA404F" w:rsidRPr="00101018">
        <w:rPr>
          <w:rFonts w:ascii="楷體-繁" w:eastAsia="楷體-繁" w:hAnsi="楷體-繁" w:cs="PingFang TC"/>
          <w:color w:val="000000" w:themeColor="text1"/>
        </w:rPr>
        <w:t>。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由此可以看出，</w:t>
      </w:r>
      <w:r w:rsidR="00DA404F" w:rsidRPr="00101018">
        <w:rPr>
          <w:rFonts w:ascii="楷體-繁" w:eastAsia="楷體-繁" w:hAnsi="楷體-繁"/>
          <w:color w:val="000000" w:themeColor="text1"/>
        </w:rPr>
        <w:t>新採用和處方第一例時對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="00DA404F" w:rsidRPr="00101018">
        <w:rPr>
          <w:rFonts w:ascii="楷體-繁" w:eastAsia="楷體-繁" w:hAnsi="楷體-繁"/>
          <w:color w:val="000000" w:themeColor="text1"/>
        </w:rPr>
        <w:t>MR（</w:t>
      </w:r>
      <w:r w:rsidR="00DA404F" w:rsidRPr="00101018">
        <w:rPr>
          <w:rFonts w:ascii="楷體-繁" w:eastAsia="楷體-繁" w:hAnsi="楷體-繁" w:hint="eastAsia"/>
          <w:color w:val="000000" w:themeColor="text1"/>
        </w:rPr>
        <w:t>面</w:t>
      </w:r>
      <w:r w:rsidR="00DA404F" w:rsidRPr="00101018">
        <w:rPr>
          <w:rFonts w:ascii="楷體-繁" w:eastAsia="楷體-繁" w:hAnsi="楷體-繁"/>
          <w:color w:val="000000" w:themeColor="text1"/>
        </w:rPr>
        <w:t>訪、電話）</w:t>
      </w:r>
      <w:r w:rsidR="00DA404F"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="00DA404F" w:rsidRPr="00101018">
        <w:rPr>
          <w:rFonts w:ascii="楷體-繁" w:eastAsia="楷體-繁" w:hAnsi="楷體-繁"/>
          <w:color w:val="000000" w:themeColor="text1"/>
        </w:rPr>
        <w:t>的需求之高。</w:t>
      </w:r>
    </w:p>
    <w:p w14:paraId="731CAF85" w14:textId="2C11267A" w:rsidR="00FC33C9" w:rsidRPr="00101018" w:rsidRDefault="00FC33C9" w:rsidP="0077613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HP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，也確認從「</w:t>
      </w:r>
      <w:r w:rsidRPr="00101018">
        <w:rPr>
          <w:rFonts w:ascii="楷體-繁" w:eastAsia="楷體-繁" w:hAnsi="楷體-繁"/>
          <w:color w:val="000000" w:themeColor="text1"/>
        </w:rPr>
        <w:t>學會(</w:t>
      </w:r>
      <w:r w:rsidRPr="00101018">
        <w:rPr>
          <w:rFonts w:ascii="楷體-繁" w:eastAsia="楷體-繁" w:hAnsi="楷體-繁" w:hint="eastAsia"/>
          <w:color w:val="000000" w:themeColor="text1"/>
        </w:rPr>
        <w:t>包括</w:t>
      </w:r>
      <w:r w:rsidRPr="00101018">
        <w:rPr>
          <w:rFonts w:ascii="楷體-繁" w:eastAsia="楷體-繁" w:hAnsi="楷體-繁"/>
          <w:color w:val="000000" w:themeColor="text1"/>
        </w:rPr>
        <w:t>學會</w:t>
      </w:r>
      <w:r w:rsidRPr="00101018">
        <w:rPr>
          <w:rFonts w:ascii="楷體-繁" w:eastAsia="楷體-繁" w:hAnsi="楷體-繁" w:hint="eastAsia"/>
          <w:color w:val="000000" w:themeColor="text1"/>
        </w:rPr>
        <w:t>雜誌</w:t>
      </w:r>
      <w:r w:rsidRPr="00101018">
        <w:rPr>
          <w:rFonts w:ascii="楷體-繁" w:eastAsia="楷體-繁" w:hAnsi="楷體-繁"/>
          <w:color w:val="000000" w:themeColor="text1"/>
        </w:rPr>
        <w:t>)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/>
          <w:color w:val="000000" w:themeColor="text1"/>
        </w:rPr>
        <w:t>獲取資訊的比例</w:t>
      </w:r>
      <w:r w:rsidRPr="00101018">
        <w:rPr>
          <w:rFonts w:ascii="楷體-繁" w:eastAsia="楷體-繁" w:hAnsi="楷體-繁" w:hint="eastAsia"/>
          <w:color w:val="000000" w:themeColor="text1"/>
        </w:rPr>
        <w:t>很高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28FDEC57" w14:textId="7AF30569" w:rsidR="00532B09" w:rsidRPr="00101018" w:rsidRDefault="00532B09" w:rsidP="0077613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想從「</w:t>
      </w:r>
      <w:r w:rsidRPr="00101018">
        <w:rPr>
          <w:rFonts w:ascii="楷體-繁" w:eastAsia="楷體-繁" w:hAnsi="楷體-繁"/>
          <w:color w:val="000000" w:themeColor="text1"/>
        </w:rPr>
        <w:t>學會(</w:t>
      </w:r>
      <w:r w:rsidRPr="00101018">
        <w:rPr>
          <w:rFonts w:ascii="楷體-繁" w:eastAsia="楷體-繁" w:hAnsi="楷體-繁" w:hint="eastAsia"/>
          <w:color w:val="000000" w:themeColor="text1"/>
        </w:rPr>
        <w:t>包括</w:t>
      </w:r>
      <w:r w:rsidRPr="00101018">
        <w:rPr>
          <w:rFonts w:ascii="楷體-繁" w:eastAsia="楷體-繁" w:hAnsi="楷體-繁"/>
          <w:color w:val="000000" w:themeColor="text1"/>
        </w:rPr>
        <w:t>學會</w:t>
      </w:r>
      <w:r w:rsidRPr="00101018">
        <w:rPr>
          <w:rFonts w:ascii="楷體-繁" w:eastAsia="楷體-繁" w:hAnsi="楷體-繁" w:hint="eastAsia"/>
          <w:color w:val="000000" w:themeColor="text1"/>
        </w:rPr>
        <w:t>雜誌</w:t>
      </w:r>
      <w:r w:rsidRPr="00101018">
        <w:rPr>
          <w:rFonts w:ascii="楷體-繁" w:eastAsia="楷體-繁" w:hAnsi="楷體-繁"/>
          <w:color w:val="000000" w:themeColor="text1"/>
        </w:rPr>
        <w:t>)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」</w:t>
      </w:r>
      <w:r w:rsidRPr="00101018">
        <w:rPr>
          <w:rFonts w:ascii="楷體-繁" w:eastAsia="楷體-繁" w:hAnsi="楷體-繁" w:hint="eastAsia"/>
          <w:color w:val="000000" w:themeColor="text1"/>
        </w:rPr>
        <w:t>收集</w:t>
      </w:r>
      <w:r w:rsidRPr="00101018">
        <w:rPr>
          <w:rFonts w:ascii="楷體-繁" w:eastAsia="楷體-繁" w:hAnsi="楷體-繁"/>
          <w:color w:val="000000" w:themeColor="text1"/>
        </w:rPr>
        <w:t>資訊的比例</w:t>
      </w:r>
      <w:r w:rsidRPr="00101018">
        <w:rPr>
          <w:rFonts w:ascii="楷體-繁" w:eastAsia="楷體-繁" w:hAnsi="楷體-繁" w:cs="PingFang TC"/>
          <w:color w:val="000000" w:themeColor="text1"/>
        </w:rPr>
        <w:t>，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在</w:t>
      </w:r>
      <w:r w:rsidRPr="00101018">
        <w:rPr>
          <w:rFonts w:ascii="楷體-繁" w:eastAsia="楷體-繁" w:hAnsi="楷體-繁"/>
          <w:color w:val="000000" w:themeColor="text1"/>
        </w:rPr>
        <w:t>認知（A）</w:t>
      </w:r>
      <w:r w:rsidRPr="00101018">
        <w:rPr>
          <w:rFonts w:ascii="楷體-繁" w:eastAsia="楷體-繁" w:hAnsi="楷體-繁" w:hint="eastAsia"/>
          <w:color w:val="000000" w:themeColor="text1"/>
        </w:rPr>
        <w:t>階段為1</w:t>
      </w:r>
      <w:r w:rsidRPr="00101018">
        <w:rPr>
          <w:rFonts w:ascii="楷體-繁" w:eastAsia="楷體-繁" w:hAnsi="楷體-繁"/>
          <w:color w:val="000000" w:themeColor="text1"/>
        </w:rPr>
        <w:t>7.7%、持續處方（L）</w:t>
      </w:r>
      <w:r w:rsidRPr="00101018">
        <w:rPr>
          <w:rFonts w:ascii="楷體-繁" w:eastAsia="楷體-繁" w:hAnsi="楷體-繁" w:hint="eastAsia"/>
          <w:color w:val="000000" w:themeColor="text1"/>
        </w:rPr>
        <w:t>階段為</w:t>
      </w:r>
      <w:r w:rsidRPr="00101018">
        <w:rPr>
          <w:rFonts w:ascii="楷體-繁" w:eastAsia="楷體-繁" w:hAnsi="楷體-繁"/>
          <w:color w:val="000000" w:themeColor="text1"/>
        </w:rPr>
        <w:t>17.6%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，其他</w:t>
      </w:r>
      <w:r w:rsidRPr="00101018">
        <w:rPr>
          <w:rFonts w:ascii="楷體-繁" w:eastAsia="楷體-繁" w:hAnsi="楷體-繁" w:cs="PingFang TC"/>
          <w:color w:val="000000" w:themeColor="text1"/>
        </w:rPr>
        <w:t>3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個階段為</w:t>
      </w:r>
      <w:r w:rsidRPr="00101018">
        <w:rPr>
          <w:rFonts w:ascii="楷體-繁" w:eastAsia="楷體-繁" w:hAnsi="楷體-繁" w:cs="PingFang TC"/>
          <w:color w:val="000000" w:themeColor="text1"/>
        </w:rPr>
        <w:t>16%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左右，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特別</w:t>
      </w:r>
      <w:r w:rsidR="005540A7">
        <w:rPr>
          <w:rFonts w:ascii="楷體-繁" w:eastAsia="楷體-繁" w:hAnsi="楷體-繁" w:cs="PingFang TC" w:hint="eastAsia"/>
          <w:color w:val="000000" w:themeColor="text1"/>
        </w:rPr>
        <w:t>的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是在</w:t>
      </w:r>
      <w:r w:rsidR="00313E01" w:rsidRPr="00101018">
        <w:rPr>
          <w:rFonts w:ascii="楷體-繁" w:eastAsia="楷體-繁" w:hAnsi="楷體-繁"/>
          <w:color w:val="000000" w:themeColor="text1"/>
        </w:rPr>
        <w:t>持續處方（L）</w:t>
      </w:r>
      <w:r w:rsidR="00313E01" w:rsidRPr="00101018">
        <w:rPr>
          <w:rFonts w:ascii="楷體-繁" w:eastAsia="楷體-繁" w:hAnsi="楷體-繁" w:hint="eastAsia"/>
          <w:color w:val="000000" w:themeColor="text1"/>
        </w:rPr>
        <w:t>階段的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「</w:t>
      </w:r>
      <w:r w:rsidR="00313E01" w:rsidRPr="00101018">
        <w:rPr>
          <w:rFonts w:ascii="楷體-繁" w:eastAsia="楷體-繁" w:hAnsi="楷體-繁"/>
          <w:color w:val="000000" w:themeColor="text1"/>
        </w:rPr>
        <w:t>學會(</w:t>
      </w:r>
      <w:r w:rsidR="00313E01" w:rsidRPr="00101018">
        <w:rPr>
          <w:rFonts w:ascii="楷體-繁" w:eastAsia="楷體-繁" w:hAnsi="楷體-繁" w:hint="eastAsia"/>
          <w:color w:val="000000" w:themeColor="text1"/>
        </w:rPr>
        <w:t>包括</w:t>
      </w:r>
      <w:r w:rsidR="00313E01" w:rsidRPr="00101018">
        <w:rPr>
          <w:rFonts w:ascii="楷體-繁" w:eastAsia="楷體-繁" w:hAnsi="楷體-繁"/>
          <w:color w:val="000000" w:themeColor="text1"/>
        </w:rPr>
        <w:t>學會</w:t>
      </w:r>
      <w:r w:rsidR="00313E01" w:rsidRPr="00101018">
        <w:rPr>
          <w:rFonts w:ascii="楷體-繁" w:eastAsia="楷體-繁" w:hAnsi="楷體-繁" w:hint="eastAsia"/>
          <w:color w:val="000000" w:themeColor="text1"/>
        </w:rPr>
        <w:t>雜誌</w:t>
      </w:r>
      <w:r w:rsidR="00313E01" w:rsidRPr="00101018">
        <w:rPr>
          <w:rFonts w:ascii="楷體-繁" w:eastAsia="楷體-繁" w:hAnsi="楷體-繁"/>
          <w:color w:val="000000" w:themeColor="text1"/>
        </w:rPr>
        <w:t>)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」渠道比</w:t>
      </w:r>
      <w:r w:rsidR="00313E01" w:rsidRPr="00101018">
        <w:rPr>
          <w:rFonts w:ascii="楷體-繁" w:eastAsia="楷體-繁" w:hAnsi="楷體-繁" w:cs="PingFang TC"/>
          <w:color w:val="000000" w:themeColor="text1"/>
        </w:rPr>
        <w:t>MR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渠道</w:t>
      </w:r>
      <w:r w:rsidR="008966B1" w:rsidRPr="00101018">
        <w:rPr>
          <w:rFonts w:ascii="楷體-繁" w:eastAsia="楷體-繁" w:hAnsi="楷體-繁" w:cs="PingFang TC" w:hint="eastAsia"/>
          <w:color w:val="000000" w:themeColor="text1"/>
        </w:rPr>
        <w:t>略</w:t>
      </w:r>
      <w:r w:rsidR="00313E01" w:rsidRPr="00101018">
        <w:rPr>
          <w:rFonts w:ascii="楷體-繁" w:eastAsia="楷體-繁" w:hAnsi="楷體-繁" w:cs="PingFang TC" w:hint="eastAsia"/>
          <w:color w:val="000000" w:themeColor="text1"/>
        </w:rPr>
        <w:t>高</w:t>
      </w:r>
      <w:r w:rsidR="00313E01" w:rsidRPr="00101018">
        <w:rPr>
          <w:rFonts w:ascii="楷體-繁" w:eastAsia="楷體-繁" w:hAnsi="楷體-繁" w:cs="PingFang TC"/>
          <w:color w:val="000000" w:themeColor="text1"/>
        </w:rPr>
        <w:t>0.3%</w:t>
      </w:r>
      <w:r w:rsidRPr="00101018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1E476BE4" w14:textId="7CE8C2B7" w:rsidR="00276C11" w:rsidRPr="00101018" w:rsidRDefault="00276C11" w:rsidP="0077613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01018">
        <w:rPr>
          <w:rFonts w:ascii="楷體-繁" w:eastAsia="楷體-繁" w:hAnsi="楷體-繁" w:cs="PingFang TC" w:hint="eastAsia"/>
          <w:color w:val="000000" w:themeColor="text1"/>
        </w:rPr>
        <w:t>從這一數據可以解釋為，醫師之間的資訊交流和資訊共享，在醫師的處方感覺已經鞏固的階段，更能有效地持續處方和增加處方</w:t>
      </w:r>
      <w:r w:rsidRPr="00101018">
        <w:rPr>
          <w:rFonts w:ascii="楷體-繁" w:eastAsia="楷體-繁" w:hAnsi="楷體-繁"/>
          <w:color w:val="000000" w:themeColor="text1"/>
        </w:rPr>
        <w:t>。</w:t>
      </w:r>
      <w:r w:rsidR="00B71D20" w:rsidRPr="00101018">
        <w:rPr>
          <w:rFonts w:ascii="楷體-繁" w:eastAsia="楷體-繁" w:hAnsi="楷體-繁" w:hint="eastAsia"/>
          <w:color w:val="000000" w:themeColor="text1"/>
        </w:rPr>
        <w:t>例如</w:t>
      </w:r>
      <w:r w:rsidR="00B71D20" w:rsidRPr="00101018">
        <w:rPr>
          <w:rFonts w:ascii="楷體-繁" w:eastAsia="楷體-繁" w:hAnsi="楷體-繁" w:cs="PingFang TC" w:hint="eastAsia"/>
          <w:color w:val="000000" w:themeColor="text1"/>
        </w:rPr>
        <w:t>，在這個階段為醫療人員規劃遠距的小規模研討會</w:t>
      </w:r>
      <w:r w:rsidR="00636B49" w:rsidRPr="00101018">
        <w:rPr>
          <w:rFonts w:ascii="楷體-繁" w:eastAsia="楷體-繁" w:hAnsi="楷體-繁" w:cs="PingFang TC" w:hint="eastAsia"/>
          <w:color w:val="000000" w:themeColor="text1"/>
        </w:rPr>
        <w:t>，對增加處方等可能更有效果</w:t>
      </w:r>
      <w:r w:rsidR="00636B49" w:rsidRPr="00101018">
        <w:rPr>
          <w:rFonts w:ascii="楷體-繁" w:eastAsia="楷體-繁" w:hAnsi="楷體-繁" w:cs="PingFang TC"/>
          <w:color w:val="000000" w:themeColor="text1"/>
        </w:rPr>
        <w:t>。</w:t>
      </w:r>
    </w:p>
    <w:p w14:paraId="73BE5978" w14:textId="4D8FD5BE" w:rsidR="00E558F8" w:rsidRPr="00101018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01018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01018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01018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610309" w:rsidRPr="00101018">
        <w:rPr>
          <w:rFonts w:ascii="楷體-繁" w:eastAsia="楷體-繁" w:hAnsi="楷體-繁"/>
          <w:color w:val="000000" w:themeColor="text1"/>
        </w:rPr>
        <w:t>MixOnline</w:t>
      </w:r>
      <w:proofErr w:type="spellEnd"/>
      <w:r w:rsidRPr="00101018">
        <w:rPr>
          <w:rFonts w:ascii="楷體-繁" w:eastAsia="楷體-繁" w:hAnsi="楷體-繁" w:cs="Arial" w:hint="eastAsia"/>
          <w:color w:val="000000" w:themeColor="text1"/>
        </w:rPr>
        <w:t>)</w:t>
      </w:r>
    </w:p>
    <w:p w14:paraId="0B5B7B49" w14:textId="5329AECA" w:rsidR="00D269C2" w:rsidRPr="00101018" w:rsidRDefault="001B0AF3" w:rsidP="00CD55D1">
      <w:pPr>
        <w:shd w:val="clear" w:color="auto" w:fill="FFFFFF"/>
        <w:spacing w:before="240" w:line="0" w:lineRule="atLeast"/>
        <w:jc w:val="right"/>
        <w:rPr>
          <w:rFonts w:ascii="楷體-繁" w:eastAsia="楷體-繁" w:hAnsi="楷體-繁" w:cs="RyuminPro-Light"/>
          <w:color w:val="000000" w:themeColor="text1"/>
        </w:rPr>
      </w:pPr>
      <w:r w:rsidRPr="00101018">
        <w:rPr>
          <w:rFonts w:ascii="楷體-繁" w:eastAsia="楷體-繁" w:hAnsi="楷體-繁" w:cs="RyuminPro-Light"/>
          <w:color w:val="000000" w:themeColor="text1"/>
        </w:rPr>
        <w:t>–</w:t>
      </w:r>
      <w:r w:rsidRPr="00101018">
        <w:rPr>
          <w:rFonts w:ascii="楷體-繁" w:eastAsia="楷體-繁" w:hAnsi="楷體-繁" w:cs="RyuminPro-Light" w:hint="eastAsia"/>
          <w:color w:val="000000" w:themeColor="text1"/>
        </w:rPr>
        <w:t>End</w:t>
      </w:r>
      <w:r w:rsidR="00D82F94" w:rsidRPr="00101018">
        <w:rPr>
          <w:rFonts w:ascii="楷體-繁" w:eastAsia="楷體-繁" w:hAnsi="楷體-繁" w:cs="RyuminPro-Light"/>
          <w:color w:val="000000" w:themeColor="text1"/>
        </w:rPr>
        <w:t>s</w:t>
      </w:r>
      <w:r w:rsidRPr="00101018">
        <w:rPr>
          <w:rFonts w:ascii="楷體-繁" w:eastAsia="楷體-繁" w:hAnsi="楷體-繁" w:cs="RyuminPro-Light"/>
          <w:color w:val="000000" w:themeColor="text1"/>
        </w:rPr>
        <w:t>–</w:t>
      </w:r>
    </w:p>
    <w:sectPr w:rsidR="00D269C2" w:rsidRPr="00101018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EF5F" w14:textId="77777777" w:rsidR="008530CD" w:rsidRDefault="008530CD" w:rsidP="00D432A3">
      <w:pPr>
        <w:spacing w:before="120"/>
      </w:pPr>
      <w:r>
        <w:separator/>
      </w:r>
    </w:p>
  </w:endnote>
  <w:endnote w:type="continuationSeparator" w:id="0">
    <w:p w14:paraId="4AABEB17" w14:textId="77777777" w:rsidR="008530CD" w:rsidRDefault="008530C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PingFang TC">
    <w:altName w:val="﷽﷽﷽﷽﷽﷽﷽䑺٥老䜰¦怀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ongti TC">
    <w:altName w:val="﷽﷽﷽﷽﷽﷽﷽㾀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1DA67" w14:textId="77777777" w:rsidR="008530CD" w:rsidRDefault="008530CD" w:rsidP="00D432A3">
      <w:pPr>
        <w:spacing w:before="120"/>
      </w:pPr>
      <w:r>
        <w:separator/>
      </w:r>
    </w:p>
  </w:footnote>
  <w:footnote w:type="continuationSeparator" w:id="0">
    <w:p w14:paraId="5F1BB796" w14:textId="77777777" w:rsidR="008530CD" w:rsidRDefault="008530C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7"/>
  </w:num>
  <w:num w:numId="5">
    <w:abstractNumId w:val="10"/>
  </w:num>
  <w:num w:numId="6">
    <w:abstractNumId w:val="31"/>
  </w:num>
  <w:num w:numId="7">
    <w:abstractNumId w:val="18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25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9"/>
  </w:num>
  <w:num w:numId="18">
    <w:abstractNumId w:val="6"/>
  </w:num>
  <w:num w:numId="19">
    <w:abstractNumId w:val="23"/>
  </w:num>
  <w:num w:numId="20">
    <w:abstractNumId w:val="11"/>
  </w:num>
  <w:num w:numId="21">
    <w:abstractNumId w:val="21"/>
  </w:num>
  <w:num w:numId="22">
    <w:abstractNumId w:val="22"/>
  </w:num>
  <w:num w:numId="23">
    <w:abstractNumId w:val="30"/>
  </w:num>
  <w:num w:numId="24">
    <w:abstractNumId w:val="20"/>
  </w:num>
  <w:num w:numId="25">
    <w:abstractNumId w:val="26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5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3E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18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A6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75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4EC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85A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0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497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29A"/>
    <w:rsid w:val="000D78CB"/>
    <w:rsid w:val="000D78F5"/>
    <w:rsid w:val="000D797A"/>
    <w:rsid w:val="000D797D"/>
    <w:rsid w:val="000D79DD"/>
    <w:rsid w:val="000D79F0"/>
    <w:rsid w:val="000D7C73"/>
    <w:rsid w:val="000D7E11"/>
    <w:rsid w:val="000D7E59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8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7BA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C8E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B77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948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5F9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E54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9A"/>
    <w:rsid w:val="002352F6"/>
    <w:rsid w:val="002353B9"/>
    <w:rsid w:val="00235542"/>
    <w:rsid w:val="002355D9"/>
    <w:rsid w:val="00235617"/>
    <w:rsid w:val="00235736"/>
    <w:rsid w:val="002357C6"/>
    <w:rsid w:val="002359CB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C1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0E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0D47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E01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29A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DC0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35C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EE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63C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49F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7B7"/>
    <w:rsid w:val="00532808"/>
    <w:rsid w:val="00532B09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42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B1D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0A7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003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CD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6EA0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09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64E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B49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70E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0BC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38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13F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87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79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218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AE7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0CD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4D08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38E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B1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1F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20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38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28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07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4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6E43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2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203"/>
    <w:rsid w:val="00B57438"/>
    <w:rsid w:val="00B57485"/>
    <w:rsid w:val="00B57492"/>
    <w:rsid w:val="00B57601"/>
    <w:rsid w:val="00B579B0"/>
    <w:rsid w:val="00B57AA5"/>
    <w:rsid w:val="00B57AE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20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3F8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C5C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DA6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724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2"/>
    <w:rsid w:val="00C64FC7"/>
    <w:rsid w:val="00C64FE8"/>
    <w:rsid w:val="00C650B7"/>
    <w:rsid w:val="00C656E4"/>
    <w:rsid w:val="00C65728"/>
    <w:rsid w:val="00C65891"/>
    <w:rsid w:val="00C65919"/>
    <w:rsid w:val="00C65A6D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3F5D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377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1B5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BB9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04F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B88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7C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B2B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A92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3F6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BD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3C9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D20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91">
              <w:marLeft w:val="0"/>
              <w:marRight w:val="0"/>
              <w:marTop w:val="0"/>
              <w:marBottom w:val="150"/>
              <w:divBdr>
                <w:top w:val="single" w:sz="6" w:space="0" w:color="CFEFFF"/>
                <w:left w:val="single" w:sz="6" w:space="0" w:color="CFEFFF"/>
                <w:bottom w:val="single" w:sz="6" w:space="0" w:color="CFEFFF"/>
                <w:right w:val="single" w:sz="6" w:space="0" w:color="CFEFFF"/>
              </w:divBdr>
              <w:divsChild>
                <w:div w:id="171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59</cp:revision>
  <cp:lastPrinted>2020-11-23T11:44:00Z</cp:lastPrinted>
  <dcterms:created xsi:type="dcterms:W3CDTF">2021-06-06T08:34:00Z</dcterms:created>
  <dcterms:modified xsi:type="dcterms:W3CDTF">2021-06-07T13:22:00Z</dcterms:modified>
</cp:coreProperties>
</file>