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9344" w14:textId="7170847F" w:rsidR="00F44BBD" w:rsidRPr="00F44BBD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F44BBD">
        <w:rPr>
          <w:rFonts w:ascii="Kaiti TC" w:eastAsia="Kaiti TC" w:hAnsi="Kaiti TC"/>
          <w:color w:val="000000" w:themeColor="text1"/>
        </w:rPr>
        <w:t>5</w:t>
      </w:r>
      <w:r w:rsidR="00C649C7">
        <w:rPr>
          <w:rFonts w:ascii="Kaiti TC" w:eastAsia="Kaiti TC" w:hAnsi="Kaiti TC"/>
          <w:color w:val="000000" w:themeColor="text1"/>
        </w:rPr>
        <w:t>-</w:t>
      </w:r>
      <w:r w:rsidR="00F44BBD">
        <w:rPr>
          <w:rFonts w:ascii="Kaiti TC" w:eastAsia="Kaiti TC" w:hAnsi="Kaiti TC"/>
          <w:color w:val="000000" w:themeColor="text1"/>
        </w:rPr>
        <w:t>20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4A867EAA" w:rsidR="00B321EA" w:rsidRPr="00B321EA" w:rsidRDefault="00B321EA" w:rsidP="00FD537F">
      <w:pPr>
        <w:spacing w:beforeLines="100" w:before="360" w:afterLines="100" w:after="360" w:line="0" w:lineRule="atLeast"/>
        <w:rPr>
          <w:color w:val="000000" w:themeColor="text1"/>
        </w:rPr>
      </w:pPr>
      <w:r w:rsidRPr="00B321EA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IQVIA</w:t>
      </w:r>
      <w:r w:rsidR="009265CF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預估台</w:t>
      </w:r>
      <w:r w:rsidR="009265CF" w:rsidRPr="009265CF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灣</w:t>
      </w:r>
      <w:r w:rsidRPr="009265C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藥</w:t>
      </w:r>
      <w:r w:rsidR="009265CF" w:rsidRPr="009265CF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品</w:t>
      </w:r>
      <w:r w:rsidRPr="009265C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市場</w:t>
      </w:r>
      <w:r w:rsidR="009265CF" w:rsidRPr="009265CF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年複合成長率</w:t>
      </w:r>
      <w:r w:rsidR="009265CF" w:rsidRPr="009265CF">
        <w:rPr>
          <w:rFonts w:ascii="Kaiti TC" w:eastAsia="Kaiti TC" w:hAnsi="Kaiti TC"/>
          <w:b/>
          <w:color w:val="000000" w:themeColor="text1"/>
          <w:sz w:val="32"/>
          <w:szCs w:val="32"/>
        </w:rPr>
        <w:t>4.9%</w:t>
      </w:r>
      <w:r w:rsidR="009265CF" w:rsidRPr="009265CF">
        <w:rPr>
          <w:rFonts w:ascii="Kaiti TC" w:eastAsia="Kaiti TC" w:hAnsi="Kaiti TC"/>
          <w:color w:val="001E5E"/>
          <w:sz w:val="32"/>
          <w:szCs w:val="32"/>
        </w:rPr>
        <w:t xml:space="preserve"> </w:t>
      </w:r>
    </w:p>
    <w:p w14:paraId="0785FCE7" w14:textId="5C38FF37" w:rsidR="00054AD8" w:rsidRDefault="009265CF" w:rsidP="00E86BA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 w:rsidRPr="00AA0A71">
        <w:rPr>
          <w:rFonts w:ascii="Kaiti TC" w:eastAsia="Kaiti TC" w:hAnsi="Kaiti TC" w:hint="eastAsia"/>
          <w:bCs/>
          <w:color w:val="000000" w:themeColor="text1"/>
        </w:rPr>
        <w:t>根據</w:t>
      </w:r>
      <w:r w:rsidRPr="00AA0A71">
        <w:rPr>
          <w:rFonts w:ascii="Kaiti TC" w:eastAsia="Kaiti TC" w:hAnsi="Kaiti TC"/>
          <w:bCs/>
          <w:color w:val="000000" w:themeColor="text1"/>
        </w:rPr>
        <w:t>IQVI</w:t>
      </w:r>
      <w:r w:rsidR="00C34E34" w:rsidRPr="00AA0A71">
        <w:rPr>
          <w:rFonts w:ascii="Kaiti TC" w:eastAsia="Kaiti TC" w:hAnsi="Kaiti TC"/>
          <w:bCs/>
          <w:color w:val="000000" w:themeColor="text1"/>
        </w:rPr>
        <w:t>A</w:t>
      </w:r>
      <w:r w:rsidR="00054AD8" w:rsidRPr="00AA0A71">
        <w:rPr>
          <w:rFonts w:ascii="Kaiti TC" w:eastAsia="Kaiti TC" w:hAnsi="Kaiti TC" w:hint="eastAsia"/>
          <w:bCs/>
          <w:color w:val="000000" w:themeColor="text1"/>
        </w:rPr>
        <w:t>於</w:t>
      </w:r>
      <w:r w:rsidR="00C34E34" w:rsidRPr="00AA0A71">
        <w:rPr>
          <w:rFonts w:ascii="Kaiti TC" w:eastAsia="Kaiti TC" w:hAnsi="Kaiti TC" w:hint="eastAsia"/>
          <w:bCs/>
          <w:color w:val="000000" w:themeColor="text1"/>
        </w:rPr>
        <w:t xml:space="preserve"> </w:t>
      </w:r>
      <w:r w:rsidR="00C34E34" w:rsidRPr="00AA0A71">
        <w:rPr>
          <w:rFonts w:ascii="Kaiti TC" w:eastAsia="Kaiti TC" w:hAnsi="Kaiti TC"/>
          <w:bCs/>
          <w:color w:val="000000" w:themeColor="text1"/>
        </w:rPr>
        <w:t>2019</w:t>
      </w:r>
      <w:r w:rsidR="00C34E34" w:rsidRPr="00AA0A71">
        <w:rPr>
          <w:rFonts w:ascii="Kaiti TC" w:eastAsia="Kaiti TC" w:hAnsi="Kaiti TC" w:hint="eastAsia"/>
          <w:bCs/>
          <w:color w:val="000000" w:themeColor="text1"/>
        </w:rPr>
        <w:t>年</w:t>
      </w:r>
      <w:r w:rsidR="00C34E34" w:rsidRPr="00AA0A71">
        <w:rPr>
          <w:rFonts w:ascii="Kaiti TC" w:eastAsia="Kaiti TC" w:hAnsi="Kaiti TC"/>
          <w:bCs/>
          <w:color w:val="000000" w:themeColor="text1"/>
        </w:rPr>
        <w:t>3</w:t>
      </w:r>
      <w:r w:rsidR="00C34E34" w:rsidRPr="00AA0A71">
        <w:rPr>
          <w:rFonts w:ascii="Kaiti TC" w:eastAsia="Kaiti TC" w:hAnsi="Kaiti TC" w:hint="eastAsia"/>
          <w:bCs/>
          <w:color w:val="000000" w:themeColor="text1"/>
        </w:rPr>
        <w:t>月出版的</w:t>
      </w:r>
      <w:r w:rsidR="00054AD8" w:rsidRPr="00AA0A71">
        <w:rPr>
          <w:rFonts w:ascii="Kaiti TC" w:eastAsia="Kaiti TC" w:hAnsi="Kaiti TC" w:cs="Songti TC" w:hint="eastAsia"/>
          <w:bCs/>
          <w:color w:val="000000" w:themeColor="text1"/>
        </w:rPr>
        <w:t>「</w:t>
      </w:r>
      <w:r w:rsidRPr="00AA0A71">
        <w:rPr>
          <w:rFonts w:ascii="Kaiti TC" w:eastAsia="Kaiti TC" w:hAnsi="Kaiti TC"/>
          <w:bCs/>
          <w:color w:val="000000" w:themeColor="text1"/>
        </w:rPr>
        <w:t>Market Prognosis</w:t>
      </w:r>
      <w:r w:rsidR="00C34E34" w:rsidRPr="00AA0A71">
        <w:rPr>
          <w:rFonts w:ascii="Kaiti TC" w:eastAsia="Kaiti TC" w:hAnsi="Kaiti TC"/>
          <w:bCs/>
          <w:color w:val="000000" w:themeColor="text1"/>
        </w:rPr>
        <w:t xml:space="preserve"> 2019-2023</w:t>
      </w:r>
      <w:r w:rsidR="00054AD8" w:rsidRPr="00AA0A71">
        <w:rPr>
          <w:rFonts w:ascii="Kaiti TC" w:eastAsia="Kaiti TC" w:hAnsi="Kaiti TC" w:cs="Songti TC" w:hint="eastAsia"/>
          <w:bCs/>
          <w:color w:val="000000" w:themeColor="text1"/>
        </w:rPr>
        <w:t>」</w:t>
      </w:r>
      <w:r w:rsidR="00C34E34" w:rsidRPr="00AA0A71">
        <w:rPr>
          <w:rFonts w:ascii="Kaiti TC" w:eastAsia="Kaiti TC" w:hAnsi="Kaiti TC"/>
          <w:bCs/>
          <w:color w:val="000000" w:themeColor="text1"/>
        </w:rPr>
        <w:t>，預計2018年至2023年，台灣藥</w:t>
      </w:r>
      <w:r w:rsidR="00054AD8" w:rsidRPr="00AA0A71">
        <w:rPr>
          <w:rFonts w:ascii="Kaiti TC" w:eastAsia="Kaiti TC" w:hAnsi="Kaiti TC" w:hint="eastAsia"/>
          <w:bCs/>
          <w:color w:val="000000" w:themeColor="text1"/>
        </w:rPr>
        <w:t>品</w:t>
      </w:r>
      <w:r w:rsidR="00C34E34" w:rsidRPr="00AA0A71">
        <w:rPr>
          <w:rFonts w:ascii="Kaiti TC" w:eastAsia="Kaiti TC" w:hAnsi="Kaiti TC"/>
          <w:bCs/>
          <w:color w:val="000000" w:themeColor="text1"/>
        </w:rPr>
        <w:t>市場將以4.9％（±1.5％）的</w:t>
      </w:r>
      <w:r w:rsidR="00054AD8" w:rsidRPr="00AA0A71">
        <w:rPr>
          <w:rFonts w:ascii="Kaiti TC" w:eastAsia="Kaiti TC" w:hAnsi="Kaiti TC"/>
          <w:bCs/>
          <w:color w:val="000000" w:themeColor="text1"/>
        </w:rPr>
        <w:t>年複合</w:t>
      </w:r>
      <w:r w:rsidR="00054AD8" w:rsidRPr="00AA0A71">
        <w:rPr>
          <w:rFonts w:ascii="Kaiti TC" w:eastAsia="Kaiti TC" w:hAnsi="Kaiti TC" w:hint="eastAsia"/>
          <w:bCs/>
          <w:color w:val="000000" w:themeColor="text1"/>
        </w:rPr>
        <w:t>成</w:t>
      </w:r>
      <w:r w:rsidR="00054AD8" w:rsidRPr="00AA0A71">
        <w:rPr>
          <w:rFonts w:ascii="Kaiti TC" w:eastAsia="Kaiti TC" w:hAnsi="Kaiti TC"/>
          <w:bCs/>
          <w:color w:val="000000" w:themeColor="text1"/>
        </w:rPr>
        <w:t>長率 (</w:t>
      </w:r>
      <w:r w:rsidR="00054AD8" w:rsidRPr="00AA0A71">
        <w:rPr>
          <w:rFonts w:ascii="Kaiti TC" w:eastAsia="Kaiti TC" w:hAnsi="Kaiti TC" w:cs="Arial"/>
          <w:bCs/>
          <w:color w:val="000000" w:themeColor="text1"/>
          <w:shd w:val="clear" w:color="auto" w:fill="FFFFFF"/>
        </w:rPr>
        <w:t>Compound Annual Growth Rate</w:t>
      </w:r>
      <w:r w:rsidR="00054AD8" w:rsidRPr="00AA0A71">
        <w:rPr>
          <w:rFonts w:ascii="Kaiti TC" w:eastAsia="Kaiti TC" w:hAnsi="Kaiti TC"/>
          <w:bCs/>
          <w:color w:val="000000" w:themeColor="text1"/>
        </w:rPr>
        <w:t>，</w:t>
      </w:r>
      <w:r w:rsidR="00054AD8" w:rsidRPr="00AA0A71">
        <w:rPr>
          <w:rFonts w:ascii="Kaiti TC" w:eastAsia="Kaiti TC" w:hAnsi="Kaiti TC" w:hint="eastAsia"/>
          <w:bCs/>
          <w:color w:val="000000" w:themeColor="text1"/>
        </w:rPr>
        <w:t>簡稱</w:t>
      </w:r>
      <w:r w:rsidR="00054AD8" w:rsidRPr="00AA0A71">
        <w:rPr>
          <w:rFonts w:ascii="Kaiti TC" w:eastAsia="Kaiti TC" w:hAnsi="Kaiti TC"/>
          <w:bCs/>
          <w:color w:val="000000" w:themeColor="text1"/>
        </w:rPr>
        <w:t>CAGR)</w:t>
      </w:r>
      <w:r w:rsidR="00054AD8" w:rsidRPr="00AA0A71">
        <w:rPr>
          <w:rFonts w:ascii="Kaiti TC" w:eastAsia="Kaiti TC" w:hAnsi="Kaiti TC" w:hint="eastAsia"/>
          <w:bCs/>
          <w:color w:val="000000" w:themeColor="text1"/>
        </w:rPr>
        <w:t>成長</w:t>
      </w:r>
      <w:r w:rsidR="00054AD8" w:rsidRPr="00AA0A71">
        <w:rPr>
          <w:rFonts w:ascii="Kaiti TC" w:eastAsia="Kaiti TC" w:hAnsi="Kaiti TC"/>
          <w:bCs/>
          <w:color w:val="000000" w:themeColor="text1"/>
        </w:rPr>
        <w:t>，到2023年將達到2,578億</w:t>
      </w:r>
      <w:r w:rsidR="00140770" w:rsidRPr="00AA0A71">
        <w:rPr>
          <w:rFonts w:ascii="Kaiti TC" w:eastAsia="Kaiti TC" w:hAnsi="Kaiti TC" w:hint="eastAsia"/>
          <w:bCs/>
          <w:color w:val="000000" w:themeColor="text1"/>
        </w:rPr>
        <w:t>元</w:t>
      </w:r>
      <w:r w:rsidR="00054AD8" w:rsidRPr="00AA0A71">
        <w:rPr>
          <w:rFonts w:ascii="Kaiti TC" w:eastAsia="Kaiti TC" w:hAnsi="Kaiti TC"/>
          <w:bCs/>
          <w:color w:val="000000" w:themeColor="text1"/>
        </w:rPr>
        <w:t>（按</w:t>
      </w:r>
      <w:r w:rsidR="00054AD8" w:rsidRPr="009122BF">
        <w:rPr>
          <w:rFonts w:ascii="Kaiti TC" w:eastAsia="Kaiti TC" w:hAnsi="Kaiti TC" w:hint="eastAsia"/>
          <w:bCs/>
          <w:color w:val="000000" w:themeColor="text1"/>
        </w:rPr>
        <w:t>交</w:t>
      </w:r>
      <w:r w:rsidR="00054AD8" w:rsidRPr="009122BF">
        <w:rPr>
          <w:rFonts w:ascii="Kaiti TC" w:eastAsia="Kaiti TC" w:hAnsi="Kaiti TC"/>
          <w:bCs/>
          <w:color w:val="000000" w:themeColor="text1"/>
        </w:rPr>
        <w:t>易價格</w:t>
      </w:r>
      <w:r w:rsidR="00054AD8" w:rsidRPr="00AA0A71">
        <w:rPr>
          <w:rFonts w:ascii="Kaiti TC" w:eastAsia="Kaiti TC" w:hAnsi="Kaiti TC"/>
          <w:bCs/>
          <w:color w:val="000000" w:themeColor="text1"/>
        </w:rPr>
        <w:t>計算）。</w:t>
      </w:r>
    </w:p>
    <w:p w14:paraId="11A3BFFE" w14:textId="09C63C0D" w:rsidR="006A4FAD" w:rsidRPr="006A4FAD" w:rsidRDefault="006A4FAD" w:rsidP="006A4FAD">
      <w:pPr>
        <w:spacing w:line="0" w:lineRule="atLeast"/>
        <w:ind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>
        <w:rPr>
          <w:rFonts w:ascii="Kaiti TC" w:eastAsia="Kaiti TC" w:hAnsi="Kaiti TC" w:hint="eastAsia"/>
          <w:bCs/>
          <w:color w:val="000000" w:themeColor="text1"/>
        </w:rPr>
        <w:t>注</w:t>
      </w:r>
      <w:r>
        <w:rPr>
          <w:rFonts w:ascii="Kaiti TC" w:eastAsia="Kaiti TC" w:hAnsi="Kaiti TC"/>
          <w:bCs/>
          <w:color w:val="000000" w:themeColor="text1"/>
        </w:rPr>
        <w:t>:</w:t>
      </w:r>
      <w:r w:rsidRPr="006A4FAD">
        <w:rPr>
          <w:rFonts w:ascii="Kaiti TC" w:eastAsia="Kaiti TC" w:hAnsi="Kaiti TC"/>
          <w:color w:val="000000" w:themeColor="text1"/>
        </w:rPr>
        <w:t xml:space="preserve"> </w:t>
      </w:r>
      <w:r w:rsidRPr="00756EFB">
        <w:rPr>
          <w:rFonts w:ascii="Kaiti TC" w:eastAsia="Kaiti TC" w:hAnsi="Kaiti TC"/>
          <w:color w:val="000000" w:themeColor="text1"/>
        </w:rPr>
        <w:t>IQVIA預測未來幾年</w:t>
      </w:r>
      <w:r>
        <w:rPr>
          <w:rFonts w:ascii="Kaiti TC" w:eastAsia="Kaiti TC" w:hAnsi="Kaiti TC" w:hint="eastAsia"/>
          <w:color w:val="000000" w:themeColor="text1"/>
        </w:rPr>
        <w:t>全球</w:t>
      </w:r>
      <w:r>
        <w:rPr>
          <w:rFonts w:ascii="Kaiti TC" w:eastAsia="Kaiti TC" w:hAnsi="Kaiti TC" w:hint="eastAsia"/>
          <w:color w:val="000000" w:themeColor="text1"/>
        </w:rPr>
        <w:t>藥品</w:t>
      </w:r>
      <w:r w:rsidRPr="00756EFB">
        <w:rPr>
          <w:rFonts w:ascii="Kaiti TC" w:eastAsia="Kaiti TC" w:hAnsi="Kaiti TC"/>
          <w:color w:val="000000" w:themeColor="text1"/>
        </w:rPr>
        <w:t>的</w:t>
      </w:r>
      <w:r w:rsidRPr="00756EFB">
        <w:rPr>
          <w:rFonts w:ascii="Kaiti TC" w:eastAsia="Kaiti TC" w:hAnsi="Kaiti TC" w:hint="eastAsia"/>
          <w:color w:val="000000" w:themeColor="text1"/>
        </w:rPr>
        <w:t>成</w:t>
      </w:r>
      <w:r w:rsidRPr="00756EFB">
        <w:rPr>
          <w:rFonts w:ascii="Kaiti TC" w:eastAsia="Kaiti TC" w:hAnsi="Kaiti TC"/>
          <w:color w:val="000000" w:themeColor="text1"/>
        </w:rPr>
        <w:t>長將在3%</w:t>
      </w:r>
      <w:r w:rsidRPr="00756EFB">
        <w:rPr>
          <w:rFonts w:ascii="Kaiti TC" w:eastAsia="Kaiti TC" w:hAnsi="Kaiti TC" w:hint="eastAsia"/>
          <w:color w:val="000000" w:themeColor="text1"/>
        </w:rPr>
        <w:t>至</w:t>
      </w:r>
      <w:r w:rsidRPr="00756EFB">
        <w:rPr>
          <w:rFonts w:ascii="Kaiti TC" w:eastAsia="Kaiti TC" w:hAnsi="Kaiti TC"/>
          <w:color w:val="000000" w:themeColor="text1"/>
        </w:rPr>
        <w:t>6%</w:t>
      </w:r>
      <w:r w:rsidRPr="00756EFB">
        <w:rPr>
          <w:rFonts w:ascii="Kaiti TC" w:eastAsia="Kaiti TC" w:hAnsi="Kaiti TC" w:hint="eastAsia"/>
          <w:color w:val="000000" w:themeColor="text1"/>
        </w:rPr>
        <w:t>之間</w:t>
      </w:r>
      <w:r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08F48500" w14:textId="276CE5D3" w:rsidR="00054AD8" w:rsidRDefault="00054AD8" w:rsidP="00054AD8">
      <w:pPr>
        <w:spacing w:beforeLines="50" w:before="180" w:line="0" w:lineRule="atLeast"/>
        <w:jc w:val="both"/>
      </w:pPr>
      <w:r w:rsidRPr="009265C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影響市場</w:t>
      </w:r>
      <w:r w:rsidR="00E86BAB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成</w:t>
      </w:r>
      <w:r w:rsidRPr="009265C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長</w:t>
      </w:r>
      <w:r w:rsidRPr="009265C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的關鍵</w:t>
      </w:r>
      <w:r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議</w:t>
      </w:r>
      <w:r w:rsidRPr="009265C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題</w:t>
      </w:r>
      <w:r w:rsidRPr="00E17A30">
        <w:rPr>
          <w:rFonts w:ascii="inherit" w:hAnsi="inherit" w:cs="Arial" w:hint="eastAsia"/>
          <w:color w:val="000000"/>
          <w:szCs w:val="23"/>
        </w:rPr>
        <w:t>，</w:t>
      </w:r>
      <w:r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包括</w:t>
      </w:r>
      <w:r w:rsidRPr="00172203">
        <w:t>：</w:t>
      </w:r>
    </w:p>
    <w:p w14:paraId="4E683442" w14:textId="742C4733" w:rsidR="00F871F0" w:rsidRDefault="00F871F0" w:rsidP="008F41EE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</w:pPr>
      <w:r w:rsidRPr="00140770">
        <w:rPr>
          <w:shd w:val="clear" w:color="auto" w:fill="FFFFFF"/>
        </w:rPr>
        <w:t>口服</w:t>
      </w:r>
      <w:r w:rsidRPr="00140770">
        <w:rPr>
          <w:rFonts w:hint="eastAsia"/>
          <w:shd w:val="clear" w:color="auto" w:fill="FFFFFF"/>
        </w:rPr>
        <w:t>C</w:t>
      </w:r>
      <w:r w:rsidR="006A446A">
        <w:rPr>
          <w:rFonts w:hint="eastAsia"/>
          <w:shd w:val="clear" w:color="auto" w:fill="FFFFFF"/>
        </w:rPr>
        <w:t>型</w:t>
      </w:r>
      <w:r w:rsidRPr="00140770">
        <w:rPr>
          <w:rFonts w:hint="eastAsia"/>
          <w:shd w:val="clear" w:color="auto" w:fill="FFFFFF"/>
        </w:rPr>
        <w:t>肝</w:t>
      </w:r>
      <w:r w:rsidR="006A446A">
        <w:rPr>
          <w:rFonts w:hint="eastAsia"/>
          <w:shd w:val="clear" w:color="auto" w:fill="FFFFFF"/>
        </w:rPr>
        <w:t>炎</w:t>
      </w:r>
      <w:r w:rsidR="006A446A" w:rsidRPr="00140770">
        <w:rPr>
          <w:shd w:val="clear" w:color="auto" w:fill="FFFFFF"/>
        </w:rPr>
        <w:t>創新</w:t>
      </w:r>
      <w:r w:rsidR="006A446A">
        <w:rPr>
          <w:rFonts w:hint="eastAsia"/>
          <w:shd w:val="clear" w:color="auto" w:fill="FFFFFF"/>
        </w:rPr>
        <w:t>藥品</w:t>
      </w:r>
      <w:r w:rsidRPr="00140770">
        <w:rPr>
          <w:shd w:val="clear" w:color="auto" w:fill="FFFFFF"/>
        </w:rPr>
        <w:t>的</w:t>
      </w:r>
      <w:r w:rsidRPr="00140770">
        <w:rPr>
          <w:rFonts w:hint="eastAsia"/>
          <w:shd w:val="clear" w:color="auto" w:fill="FFFFFF"/>
        </w:rPr>
        <w:t>健保給付</w:t>
      </w:r>
      <w:r w:rsidRPr="00140770">
        <w:rPr>
          <w:shd w:val="clear" w:color="auto" w:fill="FFFFFF"/>
        </w:rPr>
        <w:t>將繼續是一個主要的</w:t>
      </w:r>
      <w:r w:rsidRPr="00140770">
        <w:rPr>
          <w:rFonts w:hint="eastAsia"/>
          <w:shd w:val="clear" w:color="auto" w:fill="FFFFFF"/>
        </w:rPr>
        <w:t>成</w:t>
      </w:r>
      <w:r w:rsidRPr="00140770">
        <w:rPr>
          <w:shd w:val="clear" w:color="auto" w:fill="FFFFFF"/>
        </w:rPr>
        <w:t>長動力</w:t>
      </w:r>
      <w:r w:rsidRPr="00140770">
        <w:t>。</w:t>
      </w:r>
      <w:r w:rsidR="00467E2D">
        <w:rPr>
          <w:rFonts w:hint="eastAsia"/>
        </w:rPr>
        <w:t>2</w:t>
      </w:r>
      <w:r w:rsidR="00467E2D">
        <w:t>019</w:t>
      </w:r>
      <w:r w:rsidR="00467E2D">
        <w:rPr>
          <w:rFonts w:hint="eastAsia"/>
        </w:rPr>
        <w:t>年6月</w:t>
      </w:r>
      <w:r w:rsidR="00467E2D">
        <w:t>1</w:t>
      </w:r>
      <w:r w:rsidR="00467E2D">
        <w:rPr>
          <w:rFonts w:hint="eastAsia"/>
        </w:rPr>
        <w:t>日給</w:t>
      </w:r>
      <w:r w:rsidR="00D436FC">
        <w:rPr>
          <w:rFonts w:hint="eastAsia"/>
        </w:rPr>
        <w:t>付</w:t>
      </w:r>
      <w:r w:rsidR="00467E2D">
        <w:rPr>
          <w:rFonts w:hint="eastAsia"/>
        </w:rPr>
        <w:t>條件再放寬</w:t>
      </w:r>
      <w:r w:rsidR="00140770" w:rsidRPr="00140770">
        <w:t>，</w:t>
      </w:r>
      <w:r w:rsidR="00140770" w:rsidRPr="00140770">
        <w:rPr>
          <w:rFonts w:hint="eastAsia"/>
        </w:rPr>
        <w:t>衛福部</w:t>
      </w:r>
      <w:r w:rsidR="00140770" w:rsidRPr="00140770">
        <w:t>為所有</w:t>
      </w:r>
      <w:r w:rsidR="00CE2E1F">
        <w:rPr>
          <w:rFonts w:hint="eastAsia"/>
        </w:rPr>
        <w:t>病毒性</w:t>
      </w:r>
      <w:r w:rsidR="00140770" w:rsidRPr="00140770">
        <w:rPr>
          <w:rFonts w:hint="eastAsia"/>
        </w:rPr>
        <w:t>C</w:t>
      </w:r>
      <w:r w:rsidR="00E56640">
        <w:rPr>
          <w:rFonts w:hint="eastAsia"/>
          <w:shd w:val="clear" w:color="auto" w:fill="FFFFFF"/>
        </w:rPr>
        <w:t>型</w:t>
      </w:r>
      <w:r w:rsidR="00E56640" w:rsidRPr="00140770">
        <w:rPr>
          <w:rFonts w:hint="eastAsia"/>
          <w:shd w:val="clear" w:color="auto" w:fill="FFFFFF"/>
        </w:rPr>
        <w:t>肝</w:t>
      </w:r>
      <w:r w:rsidR="00E56640">
        <w:rPr>
          <w:rFonts w:hint="eastAsia"/>
          <w:shd w:val="clear" w:color="auto" w:fill="FFFFFF"/>
        </w:rPr>
        <w:t>炎</w:t>
      </w:r>
      <w:r w:rsidR="00140770" w:rsidRPr="00140770">
        <w:t>患者提供口服治療，每年治療約40,000名患者，年度預算約為65億</w:t>
      </w:r>
      <w:r w:rsidR="00140770" w:rsidRPr="00140770">
        <w:rPr>
          <w:rFonts w:hint="eastAsia"/>
        </w:rPr>
        <w:t>元</w:t>
      </w:r>
      <w:r w:rsidR="00140770" w:rsidRPr="00140770">
        <w:t>。</w:t>
      </w:r>
    </w:p>
    <w:p w14:paraId="41C9E9EA" w14:textId="33E6E9EA" w:rsidR="009C3104" w:rsidRPr="00E329D3" w:rsidRDefault="000B3CD5" w:rsidP="00E329D3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  <w:rPr>
          <w:color w:val="auto"/>
        </w:rPr>
      </w:pPr>
      <w:r w:rsidRPr="00E329D3">
        <w:rPr>
          <w:rFonts w:hint="eastAsia"/>
        </w:rPr>
        <w:t>作為一種</w:t>
      </w:r>
      <w:r w:rsidRPr="00E329D3">
        <w:t>新的</w:t>
      </w:r>
      <w:r w:rsidRPr="00B97ADD">
        <w:t>風險分</w:t>
      </w:r>
      <w:r w:rsidR="00B97ADD" w:rsidRPr="00B97ADD">
        <w:rPr>
          <w:rFonts w:hint="eastAsia"/>
        </w:rPr>
        <w:t>攤</w:t>
      </w:r>
      <w:r w:rsidRPr="00B97ADD">
        <w:t>機制</w:t>
      </w:r>
      <w:r w:rsidR="00B810C1" w:rsidRPr="00E329D3">
        <w:t xml:space="preserve"> - </w:t>
      </w:r>
      <w:r w:rsidR="00B810C1" w:rsidRPr="00E329D3">
        <w:rPr>
          <w:rFonts w:cs="Arial" w:hint="eastAsia"/>
          <w:color w:val="000000"/>
          <w:shd w:val="clear" w:color="auto" w:fill="FFFFFF"/>
        </w:rPr>
        <w:t>藥</w:t>
      </w:r>
      <w:r w:rsidR="00B810C1" w:rsidRPr="00E329D3">
        <w:rPr>
          <w:rFonts w:cs="Arial"/>
          <w:color w:val="000000"/>
          <w:shd w:val="clear" w:color="auto" w:fill="FFFFFF"/>
        </w:rPr>
        <w:t>品給付協議</w:t>
      </w:r>
      <w:r w:rsidR="0033662D">
        <w:rPr>
          <w:rFonts w:cs="Arial" w:hint="eastAsia"/>
          <w:color w:val="000000"/>
          <w:shd w:val="clear" w:color="auto" w:fill="FFFFFF"/>
        </w:rPr>
        <w:t xml:space="preserve"> </w:t>
      </w:r>
      <w:r w:rsidR="00B810C1" w:rsidRPr="00E329D3">
        <w:rPr>
          <w:rFonts w:cs="Arial"/>
          <w:color w:val="000000"/>
          <w:shd w:val="clear" w:color="auto" w:fill="FFFFFF"/>
        </w:rPr>
        <w:t>(Managed Entry Agreement</w:t>
      </w:r>
      <w:r w:rsidR="00B810C1" w:rsidRPr="00E329D3">
        <w:rPr>
          <w:rFonts w:cs="Arial"/>
          <w:color w:val="000000"/>
        </w:rPr>
        <w:t>，</w:t>
      </w:r>
      <w:r w:rsidR="00B810C1" w:rsidRPr="00E329D3">
        <w:rPr>
          <w:rFonts w:cs="Arial" w:hint="eastAsia"/>
          <w:color w:val="000000"/>
        </w:rPr>
        <w:t>簡稱</w:t>
      </w:r>
      <w:r w:rsidR="00B810C1" w:rsidRPr="00E329D3">
        <w:rPr>
          <w:rFonts w:cs="Arial"/>
          <w:b/>
          <w:bCs/>
          <w:color w:val="000000"/>
        </w:rPr>
        <w:t>MEA</w:t>
      </w:r>
      <w:r w:rsidR="00B810C1" w:rsidRPr="00E329D3">
        <w:rPr>
          <w:rFonts w:cs="Arial"/>
          <w:color w:val="000000"/>
          <w:shd w:val="clear" w:color="auto" w:fill="FFFFFF"/>
        </w:rPr>
        <w:t>)</w:t>
      </w:r>
      <w:r w:rsidRPr="00E329D3">
        <w:rPr>
          <w:rFonts w:cs="Arial" w:hint="eastAsia"/>
        </w:rPr>
        <w:t>，在保護健保預算的同時</w:t>
      </w:r>
      <w:r w:rsidRPr="00E329D3">
        <w:rPr>
          <w:rFonts w:cs="Arial"/>
        </w:rPr>
        <w:t>，</w:t>
      </w:r>
      <w:r w:rsidRPr="00E329D3">
        <w:rPr>
          <w:rFonts w:cs="Arial" w:hint="eastAsia"/>
        </w:rPr>
        <w:t>可望能夠給付昂貴的創新產品</w:t>
      </w:r>
      <w:r w:rsidRPr="00E329D3">
        <w:rPr>
          <w:rFonts w:cs="Arial"/>
        </w:rPr>
        <w:t>，</w:t>
      </w:r>
      <w:r w:rsidRPr="00E329D3">
        <w:rPr>
          <w:rFonts w:cs="Arial" w:hint="eastAsia"/>
        </w:rPr>
        <w:t>因此給付</w:t>
      </w:r>
      <w:r w:rsidR="00B97ADD">
        <w:rPr>
          <w:rFonts w:cs="Arial" w:hint="eastAsia"/>
        </w:rPr>
        <w:t>收載</w:t>
      </w:r>
      <w:r w:rsidRPr="00E329D3">
        <w:rPr>
          <w:rFonts w:cs="Arial" w:hint="eastAsia"/>
        </w:rPr>
        <w:t>將加快</w:t>
      </w:r>
      <w:r w:rsidRPr="00E329D3">
        <w:rPr>
          <w:rFonts w:cs="Arial"/>
        </w:rPr>
        <w:t>，</w:t>
      </w:r>
      <w:r w:rsidRPr="00E329D3">
        <w:rPr>
          <w:rFonts w:cs="Arial" w:hint="eastAsia"/>
        </w:rPr>
        <w:t>覆蓋範圍將得到改善</w:t>
      </w:r>
      <w:r w:rsidR="004D08D6" w:rsidRPr="00E329D3">
        <w:t>。</w:t>
      </w:r>
      <w:r w:rsidR="00E329D3" w:rsidRPr="00E329D3">
        <w:rPr>
          <w:rFonts w:hint="eastAsia"/>
        </w:rPr>
        <w:t>健保</w:t>
      </w:r>
      <w:r w:rsidR="00E329D3" w:rsidRPr="00E329D3">
        <w:rPr>
          <w:rFonts w:cs="Arial" w:hint="eastAsia"/>
        </w:rPr>
        <w:t>署自</w:t>
      </w:r>
      <w:r w:rsidRPr="00E329D3">
        <w:rPr>
          <w:rFonts w:cs="Arial"/>
        </w:rPr>
        <w:t>2019</w:t>
      </w:r>
      <w:r w:rsidRPr="00E329D3">
        <w:rPr>
          <w:rFonts w:cs="Arial" w:hint="eastAsia"/>
        </w:rPr>
        <w:t>年4月1日起</w:t>
      </w:r>
      <w:r w:rsidR="00E329D3" w:rsidRPr="00E329D3">
        <w:rPr>
          <w:rFonts w:hint="eastAsia"/>
        </w:rPr>
        <w:t>生效給付PD-1、PD-L1免疫檢查點抑制劑，</w:t>
      </w:r>
      <w:r w:rsidR="00CF7FA4" w:rsidRPr="00E329D3">
        <w:rPr>
          <w:rFonts w:cs="Yuppy TC" w:hint="eastAsia"/>
        </w:rPr>
        <w:t>（</w:t>
      </w:r>
      <w:r w:rsidR="00CF7FA4" w:rsidRPr="00E329D3">
        <w:rPr>
          <w:rFonts w:cs="Yuppy TC"/>
          <w:color w:val="auto"/>
        </w:rPr>
        <w:t>Keytruda Injection 25mg/mL、OPDIVO Injection 10mg/mL、</w:t>
      </w:r>
      <w:proofErr w:type="spellStart"/>
      <w:r w:rsidR="00CF7FA4" w:rsidRPr="00E329D3">
        <w:rPr>
          <w:rFonts w:cs="Yuppy TC"/>
          <w:color w:val="auto"/>
        </w:rPr>
        <w:t>Tecentriq</w:t>
      </w:r>
      <w:proofErr w:type="spellEnd"/>
      <w:r w:rsidR="00CF7FA4" w:rsidRPr="00E329D3">
        <w:rPr>
          <w:rFonts w:cs="Yuppy TC"/>
          <w:color w:val="auto"/>
        </w:rPr>
        <w:t xml:space="preserve"> Injection</w:t>
      </w:r>
      <w:r w:rsidR="00CF7FA4" w:rsidRPr="00E329D3">
        <w:rPr>
          <w:rFonts w:cs="Yuppy TC" w:hint="eastAsia"/>
          <w:color w:val="auto"/>
        </w:rPr>
        <w:t>）</w:t>
      </w:r>
      <w:r w:rsidR="00E329D3" w:rsidRPr="00E329D3">
        <w:rPr>
          <w:rFonts w:hint="eastAsia"/>
        </w:rPr>
        <w:t>適應症範圍包括黑色素瘤、非小細胞肺癌、泌尿道上皮癌、典型何杰金氏淋巴瘤、頭頸部鱗狀細胞癌、胃癌、腎細胞癌、肝細胞癌等8種癌別11個適應症，</w:t>
      </w:r>
      <w:r w:rsidR="00E329D3">
        <w:t>2019</w:t>
      </w:r>
      <w:r w:rsidR="00E329D3" w:rsidRPr="00E329D3">
        <w:rPr>
          <w:rFonts w:hint="eastAsia"/>
        </w:rPr>
        <w:t>年預估開放使用名額約800人。</w:t>
      </w:r>
      <w:r w:rsidR="00E329D3" w:rsidRPr="00E329D3">
        <w:rPr>
          <w:color w:val="auto"/>
        </w:rPr>
        <w:t>控管藥費支出於8億元內</w:t>
      </w:r>
      <w:r w:rsidR="00E329D3" w:rsidRPr="00E329D3">
        <w:t>。</w:t>
      </w:r>
      <w:r w:rsidR="00E329D3" w:rsidRPr="00E329D3">
        <w:rPr>
          <w:rFonts w:hint="eastAsia"/>
        </w:rPr>
        <w:t xml:space="preserve"> </w:t>
      </w:r>
    </w:p>
    <w:p w14:paraId="7FFABE46" w14:textId="6B9FEC76" w:rsidR="00AF585D" w:rsidRPr="00794F91" w:rsidRDefault="00AF585D" w:rsidP="00794F91">
      <w:pPr>
        <w:pStyle w:val="Web"/>
        <w:spacing w:beforeAutospacing="0" w:after="0" w:afterAutospacing="0" w:line="0" w:lineRule="atLeast"/>
        <w:ind w:leftChars="200" w:left="480"/>
        <w:jc w:val="both"/>
      </w:pPr>
      <w:r w:rsidRPr="00794F91">
        <w:rPr>
          <w:rFonts w:hint="eastAsia"/>
        </w:rPr>
        <w:t>注</w:t>
      </w:r>
      <w:r w:rsidR="00794F91" w:rsidRPr="00794F91">
        <w:t>：</w:t>
      </w:r>
      <w:r w:rsidRPr="00794F91">
        <w:rPr>
          <w:rFonts w:hint="eastAsia"/>
        </w:rPr>
        <w:t>健保署於</w:t>
      </w:r>
      <w:r w:rsidRPr="00794F91">
        <w:t>2019</w:t>
      </w:r>
      <w:r w:rsidRPr="00794F91">
        <w:rPr>
          <w:rFonts w:hint="eastAsia"/>
        </w:rPr>
        <w:t>年</w:t>
      </w:r>
      <w:r w:rsidRPr="00794F91">
        <w:t>5</w:t>
      </w:r>
      <w:r w:rsidRPr="00794F91">
        <w:rPr>
          <w:rFonts w:hint="eastAsia"/>
        </w:rPr>
        <w:t>月</w:t>
      </w:r>
      <w:r w:rsidRPr="00794F91">
        <w:t>15</w:t>
      </w:r>
      <w:r w:rsidRPr="00794F91">
        <w:rPr>
          <w:rFonts w:hint="eastAsia"/>
        </w:rPr>
        <w:t>日</w:t>
      </w:r>
      <w:r w:rsidRPr="00794F91">
        <w:rPr>
          <w:rFonts w:cs="Arial"/>
        </w:rPr>
        <w:t>公告修訂免疫檢查點PD-1、PD-L1抑制劑 (如</w:t>
      </w:r>
      <w:proofErr w:type="spellStart"/>
      <w:r w:rsidRPr="00794F91">
        <w:rPr>
          <w:rFonts w:cs="Arial"/>
        </w:rPr>
        <w:t>atezolizumab</w:t>
      </w:r>
      <w:proofErr w:type="spellEnd"/>
      <w:r w:rsidRPr="00794F91">
        <w:rPr>
          <w:rFonts w:cs="Arial"/>
        </w:rPr>
        <w:t>；nivolumab；pembrolizumab製劑)之給付規定。</w:t>
      </w:r>
      <w:r w:rsidR="00794F91" w:rsidRPr="00794F91">
        <w:t>自</w:t>
      </w:r>
      <w:r w:rsidR="00794F91">
        <w:t>2019</w:t>
      </w:r>
      <w:r w:rsidR="00794F91" w:rsidRPr="00794F91">
        <w:t>年6月1日生效</w:t>
      </w:r>
      <w:r w:rsidR="00E329D3" w:rsidRPr="00E329D3">
        <w:t>。</w:t>
      </w:r>
    </w:p>
    <w:p w14:paraId="4310E937" w14:textId="210BAB70" w:rsidR="0074052A" w:rsidRPr="008D4C67" w:rsidRDefault="005954CD" w:rsidP="0074052A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</w:pPr>
      <w:r w:rsidRPr="008D4C67">
        <w:t>台灣人口</w:t>
      </w:r>
      <w:r w:rsidR="00A75CE9" w:rsidRPr="008D4C67">
        <w:rPr>
          <w:rFonts w:hint="eastAsia"/>
        </w:rPr>
        <w:t>高</w:t>
      </w:r>
      <w:r w:rsidRPr="008D4C67">
        <w:t>齡化</w:t>
      </w:r>
      <w:r w:rsidR="00A75CE9" w:rsidRPr="008D4C67">
        <w:t>迅速。</w:t>
      </w:r>
      <w:r w:rsidR="00A75CE9" w:rsidRPr="008D4C67">
        <w:rPr>
          <w:rFonts w:hint="eastAsia"/>
          <w:shd w:val="clear" w:color="auto" w:fill="FFFFFF"/>
        </w:rPr>
        <w:t>內政部公告</w:t>
      </w:r>
      <w:r w:rsidR="00A75CE9" w:rsidRPr="008D4C67">
        <w:rPr>
          <w:shd w:val="clear" w:color="auto" w:fill="FFFFFF"/>
        </w:rPr>
        <w:t>2018年3月底我國戶籍登記65歲以上老年人口計331萬人，占總人口14.1％，正式邁入「高齡社會」。國</w:t>
      </w:r>
      <w:r w:rsidR="00DB5BEB">
        <w:rPr>
          <w:rFonts w:hint="eastAsia"/>
          <w:shd w:val="clear" w:color="auto" w:fill="FFFFFF"/>
        </w:rPr>
        <w:t>發</w:t>
      </w:r>
      <w:r w:rsidR="00A75CE9" w:rsidRPr="008D4C67">
        <w:rPr>
          <w:shd w:val="clear" w:color="auto" w:fill="FFFFFF"/>
        </w:rPr>
        <w:t>會推估，預計2026年老年人口將超過20％，與日本、南韓、新加坡及歐洲部分國家同列為「超高齡社會」。</w:t>
      </w:r>
      <w:r w:rsidR="00A75CE9" w:rsidRPr="008D4C67">
        <w:rPr>
          <w:rStyle w:val="apple-converted-space"/>
          <w:shd w:val="clear" w:color="auto" w:fill="FFFFFF"/>
        </w:rPr>
        <w:t> </w:t>
      </w:r>
      <w:r w:rsidR="0074052A" w:rsidRPr="008D4C67">
        <w:rPr>
          <w:shd w:val="clear" w:color="auto" w:fill="FFFFFF"/>
        </w:rPr>
        <w:t>與年齡有關的慢性病的發病率將繼續上升，大約86%的65歲以上的人至少患有一種慢性病。</w:t>
      </w:r>
    </w:p>
    <w:p w14:paraId="426E3151" w14:textId="729AF00C" w:rsidR="00D728E9" w:rsidRDefault="00551CCA" w:rsidP="00D728E9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</w:pPr>
      <w:r w:rsidRPr="00D728E9">
        <w:t>如果實際</w:t>
      </w:r>
      <w:r w:rsidRPr="00D728E9">
        <w:rPr>
          <w:rFonts w:hint="eastAsia"/>
        </w:rPr>
        <w:t>健保</w:t>
      </w:r>
      <w:r w:rsidRPr="00D728E9">
        <w:t>藥</w:t>
      </w:r>
      <w:r w:rsidR="00152FC6">
        <w:rPr>
          <w:rFonts w:hint="eastAsia"/>
        </w:rPr>
        <w:t>品</w:t>
      </w:r>
      <w:r w:rsidRPr="00D728E9">
        <w:t>支出超出預算目標，</w:t>
      </w:r>
      <w:r w:rsidR="00D728E9" w:rsidRPr="00D728E9">
        <w:rPr>
          <w:rFonts w:cs="Arial"/>
        </w:rPr>
        <w:t>「藥品費用支出目標制」（Drug Expenditure Target，簡稱DET）</w:t>
      </w:r>
      <w:r w:rsidRPr="00D728E9">
        <w:t>機制將至少在2020年前</w:t>
      </w:r>
      <w:r w:rsidRPr="00D728E9">
        <w:rPr>
          <w:rFonts w:hint="eastAsia"/>
        </w:rPr>
        <w:t>啟動</w:t>
      </w:r>
      <w:r w:rsidRPr="00D728E9">
        <w:t>年度</w:t>
      </w:r>
      <w:r w:rsidR="00B97ADD">
        <w:rPr>
          <w:rFonts w:hint="eastAsia"/>
        </w:rPr>
        <w:t>支付價鉻調整</w:t>
      </w:r>
      <w:r w:rsidRPr="00D728E9">
        <w:t>。2019年</w:t>
      </w:r>
      <w:r w:rsidRPr="00D728E9">
        <w:rPr>
          <w:rFonts w:hint="eastAsia"/>
        </w:rPr>
        <w:t>的</w:t>
      </w:r>
      <w:r w:rsidRPr="00D728E9">
        <w:t>DET</w:t>
      </w:r>
      <w:r w:rsidR="00D728E9" w:rsidRPr="00D728E9">
        <w:rPr>
          <w:rFonts w:cs="Arial"/>
          <w:shd w:val="clear" w:color="auto" w:fill="FFFFFF"/>
        </w:rPr>
        <w:t>藥品支付價</w:t>
      </w:r>
      <w:r w:rsidR="00D728E9" w:rsidRPr="00D728E9">
        <w:rPr>
          <w:rFonts w:cs="Arial"/>
          <w:shd w:val="clear" w:color="auto" w:fill="FFFFFF"/>
        </w:rPr>
        <w:lastRenderedPageBreak/>
        <w:t>格調整</w:t>
      </w:r>
      <w:r w:rsidR="00D728E9" w:rsidRPr="00D728E9">
        <w:t>於2019年4月進行，以在2018年</w:t>
      </w:r>
      <w:r w:rsidR="00D728E9" w:rsidRPr="00D728E9">
        <w:rPr>
          <w:rFonts w:hint="eastAsia"/>
        </w:rPr>
        <w:t>藥品核付金額扣除</w:t>
      </w:r>
      <w:r w:rsidR="00D728E9" w:rsidRPr="00D728E9">
        <w:t>2017</w:t>
      </w:r>
      <w:r w:rsidR="00D728E9" w:rsidRPr="00D728E9">
        <w:rPr>
          <w:rFonts w:hint="eastAsia"/>
        </w:rPr>
        <w:t>年核付金額未達推算金額之額度後為</w:t>
      </w:r>
      <w:r w:rsidR="00D728E9" w:rsidRPr="00D728E9">
        <w:t>1,631.9</w:t>
      </w:r>
      <w:r w:rsidR="00D728E9" w:rsidRPr="00D728E9">
        <w:rPr>
          <w:rFonts w:hint="eastAsia"/>
        </w:rPr>
        <w:t>億元</w:t>
      </w:r>
      <w:r w:rsidR="00D728E9" w:rsidRPr="00D728E9">
        <w:rPr>
          <w:rFonts w:cs="Arial"/>
        </w:rPr>
        <w:t>，</w:t>
      </w:r>
      <w:r w:rsidR="00D728E9" w:rsidRPr="00D728E9">
        <w:rPr>
          <w:rFonts w:cs="Arial" w:hint="eastAsia"/>
        </w:rPr>
        <w:t>超出目標值之額度扣除</w:t>
      </w:r>
      <w:r w:rsidR="00D728E9" w:rsidRPr="00D728E9">
        <w:rPr>
          <w:rFonts w:cs="Arial"/>
        </w:rPr>
        <w:t>2018</w:t>
      </w:r>
      <w:r w:rsidR="00D728E9" w:rsidRPr="00D728E9">
        <w:rPr>
          <w:rFonts w:cs="Arial" w:hint="eastAsia"/>
        </w:rPr>
        <w:t>年藥品價量協議回收金額之1</w:t>
      </w:r>
      <w:r w:rsidR="00D728E9" w:rsidRPr="00D728E9">
        <w:rPr>
          <w:rFonts w:cs="Arial"/>
        </w:rPr>
        <w:t>4.1</w:t>
      </w:r>
      <w:r w:rsidR="00D728E9" w:rsidRPr="00D728E9">
        <w:rPr>
          <w:rFonts w:cs="Arial" w:hint="eastAsia"/>
        </w:rPr>
        <w:t>億元後為</w:t>
      </w:r>
      <w:r w:rsidR="00D728E9" w:rsidRPr="00D728E9">
        <w:t>58.3億</w:t>
      </w:r>
      <w:r w:rsidR="00D728E9" w:rsidRPr="00D728E9">
        <w:rPr>
          <w:rFonts w:hint="eastAsia"/>
        </w:rPr>
        <w:t>元</w:t>
      </w:r>
      <w:r w:rsidR="00D728E9" w:rsidRPr="00D728E9">
        <w:t>。</w:t>
      </w:r>
    </w:p>
    <w:p w14:paraId="3CF802EE" w14:textId="1C9F1E92" w:rsidR="00B97ADD" w:rsidRDefault="00B97ADD" w:rsidP="00B97ADD">
      <w:pPr>
        <w:spacing w:before="120" w:line="0" w:lineRule="atLeast"/>
        <w:ind w:leftChars="200" w:left="480"/>
        <w:jc w:val="both"/>
        <w:rPr>
          <w:rFonts w:ascii="Arial" w:hAnsi="Arial" w:cs="Arial"/>
          <w:color w:val="343434"/>
        </w:rPr>
      </w:pPr>
      <w:r w:rsidRPr="00B97ADD">
        <w:rPr>
          <w:rFonts w:ascii="Kaiti TC" w:eastAsia="Kaiti TC" w:hAnsi="Kaiti TC" w:hint="eastAsia"/>
          <w:color w:val="000000" w:themeColor="text1"/>
        </w:rPr>
        <w:t>注</w:t>
      </w:r>
      <w:r w:rsidRPr="00B97ADD">
        <w:rPr>
          <w:rFonts w:ascii="Kaiti TC" w:eastAsia="Kaiti TC" w:hAnsi="Kaiti TC"/>
          <w:color w:val="000000" w:themeColor="text1"/>
        </w:rPr>
        <w:t>：</w:t>
      </w:r>
      <w:r w:rsidRPr="00B97ADD">
        <w:rPr>
          <w:rFonts w:ascii="Kaiti TC" w:eastAsia="Kaiti TC" w:hAnsi="Kaiti TC" w:hint="eastAsia"/>
          <w:color w:val="000000" w:themeColor="text1"/>
        </w:rPr>
        <w:t>健保署</w:t>
      </w:r>
      <w:r w:rsidRPr="00B97ADD">
        <w:rPr>
          <w:rFonts w:ascii="Kaiti TC" w:eastAsia="Kaiti TC" w:hAnsi="Kaiti TC" w:cs="Arial"/>
          <w:color w:val="000000" w:themeColor="text1"/>
        </w:rPr>
        <w:t>於</w:t>
      </w:r>
      <w:r w:rsidRPr="00B97ADD">
        <w:rPr>
          <w:rFonts w:ascii="Kaiti TC" w:eastAsia="Kaiti TC" w:hAnsi="Kaiti TC" w:cs="Arial" w:hint="eastAsia"/>
          <w:color w:val="000000" w:themeColor="text1"/>
        </w:rPr>
        <w:t>2</w:t>
      </w:r>
      <w:r w:rsidRPr="00B97ADD">
        <w:rPr>
          <w:rFonts w:ascii="Kaiti TC" w:eastAsia="Kaiti TC" w:hAnsi="Kaiti TC" w:cs="Arial"/>
          <w:color w:val="000000" w:themeColor="text1"/>
        </w:rPr>
        <w:t>019</w:t>
      </w:r>
      <w:r w:rsidRPr="00B97ADD">
        <w:rPr>
          <w:rFonts w:ascii="Kaiti TC" w:eastAsia="Kaiti TC" w:hAnsi="Kaiti TC" w:cs="Arial" w:hint="eastAsia"/>
          <w:color w:val="000000" w:themeColor="text1"/>
        </w:rPr>
        <w:t>年</w:t>
      </w:r>
      <w:r w:rsidRPr="00B97ADD">
        <w:rPr>
          <w:rFonts w:ascii="Kaiti TC" w:eastAsia="Kaiti TC" w:hAnsi="Kaiti TC" w:cs="Arial"/>
          <w:color w:val="000000" w:themeColor="text1"/>
        </w:rPr>
        <w:t>1月28日公布藥價調整結果及生效日期，共計調升66項，調降7,470項，平均調幅約為3.5%</w:t>
      </w:r>
      <w:r w:rsidRPr="0016078D">
        <w:rPr>
          <w:rFonts w:ascii="Arial" w:hAnsi="Arial" w:cs="Arial"/>
          <w:color w:val="343434"/>
        </w:rPr>
        <w:t>。</w:t>
      </w:r>
    </w:p>
    <w:p w14:paraId="67A0A349" w14:textId="77777777" w:rsidR="00825515" w:rsidRPr="00844A95" w:rsidRDefault="00825515" w:rsidP="00825515">
      <w:pPr>
        <w:spacing w:before="120" w:line="0" w:lineRule="atLeast"/>
        <w:jc w:val="both"/>
        <w:rPr>
          <w:rFonts w:ascii="Kaiti TC" w:eastAsia="Kaiti TC" w:hAnsi="Kaiti TC"/>
          <w:b/>
          <w:bCs/>
        </w:rPr>
      </w:pPr>
      <w:r w:rsidRPr="00844A95">
        <w:rPr>
          <w:rFonts w:ascii="Kaiti TC" w:eastAsia="Kaiti TC" w:hAnsi="Kaiti TC" w:hint="eastAsia"/>
          <w:b/>
          <w:bCs/>
        </w:rPr>
        <w:t>T</w:t>
      </w:r>
      <w:r w:rsidRPr="00844A95">
        <w:rPr>
          <w:rFonts w:ascii="Kaiti TC" w:eastAsia="Kaiti TC" w:hAnsi="Kaiti TC"/>
          <w:b/>
          <w:bCs/>
        </w:rPr>
        <w:t>otal Market Sales (Trade Level) (2018-2023) NT$(million)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85"/>
        <w:gridCol w:w="1004"/>
        <w:gridCol w:w="1134"/>
        <w:gridCol w:w="1134"/>
        <w:gridCol w:w="1134"/>
        <w:gridCol w:w="1134"/>
        <w:gridCol w:w="1162"/>
        <w:gridCol w:w="1389"/>
      </w:tblGrid>
      <w:tr w:rsidR="00A81C73" w:rsidRPr="00844A95" w14:paraId="5A63A782" w14:textId="77777777" w:rsidTr="00A81C73">
        <w:tc>
          <w:tcPr>
            <w:tcW w:w="1685" w:type="dxa"/>
            <w:tcBorders>
              <w:bottom w:val="single" w:sz="4" w:space="0" w:color="auto"/>
            </w:tcBorders>
          </w:tcPr>
          <w:p w14:paraId="18A51B5D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11176B39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79122B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BAD8C2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1A5BDA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4277B6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EF75FD3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324124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C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AGR</w:t>
            </w:r>
          </w:p>
          <w:p w14:paraId="49DDBB3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018-2023 (%)</w:t>
            </w:r>
          </w:p>
        </w:tc>
      </w:tr>
      <w:tr w:rsidR="00825515" w:rsidRPr="00844A95" w14:paraId="33685C7E" w14:textId="77777777" w:rsidTr="00A81C73">
        <w:tc>
          <w:tcPr>
            <w:tcW w:w="1685" w:type="dxa"/>
            <w:tcBorders>
              <w:bottom w:val="dotted" w:sz="4" w:space="0" w:color="auto"/>
            </w:tcBorders>
          </w:tcPr>
          <w:p w14:paraId="3C1E1C77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R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etail/clinic sector</w:t>
            </w: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6A36CCD5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8,179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35CEBC8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7,905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CE40C8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8,353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9980C6D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8,797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9218E49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9,258</w:t>
            </w: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14:paraId="375C5472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9,734</w:t>
            </w:r>
          </w:p>
        </w:tc>
        <w:tc>
          <w:tcPr>
            <w:tcW w:w="1389" w:type="dxa"/>
            <w:tcBorders>
              <w:bottom w:val="nil"/>
            </w:tcBorders>
          </w:tcPr>
          <w:p w14:paraId="6C206FA7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.1</w:t>
            </w:r>
          </w:p>
        </w:tc>
      </w:tr>
      <w:tr w:rsidR="00A81C73" w:rsidRPr="00844A95" w14:paraId="400A5ECC" w14:textId="77777777" w:rsidTr="00A81C73">
        <w:tc>
          <w:tcPr>
            <w:tcW w:w="1685" w:type="dxa"/>
            <w:tcBorders>
              <w:top w:val="dotted" w:sz="4" w:space="0" w:color="auto"/>
              <w:bottom w:val="single" w:sz="4" w:space="0" w:color="auto"/>
            </w:tcBorders>
          </w:tcPr>
          <w:p w14:paraId="45B12D4F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A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nnual growth (%)</w:t>
            </w:r>
          </w:p>
        </w:tc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</w:tcPr>
          <w:p w14:paraId="3923F9E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-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435FFD6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-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6A4791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EC5C0EB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86CA3E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14:paraId="2509825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78D93670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</w:tr>
      <w:tr w:rsidR="00A81C73" w:rsidRPr="00844A95" w14:paraId="3B1ED75D" w14:textId="77777777" w:rsidTr="00A81C73">
        <w:tc>
          <w:tcPr>
            <w:tcW w:w="1685" w:type="dxa"/>
            <w:tcBorders>
              <w:bottom w:val="dotted" w:sz="4" w:space="0" w:color="auto"/>
            </w:tcBorders>
          </w:tcPr>
          <w:p w14:paraId="68E3988A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H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ospital sector</w:t>
            </w: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7E5FDD9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68,582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EC3F20C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80,803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E297F43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91,299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904236E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01,202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ECFF0A0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10,951</w:t>
            </w: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14:paraId="1A4F16C6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20,358</w:t>
            </w:r>
          </w:p>
        </w:tc>
        <w:tc>
          <w:tcPr>
            <w:tcW w:w="1389" w:type="dxa"/>
            <w:tcBorders>
              <w:bottom w:val="nil"/>
            </w:tcBorders>
          </w:tcPr>
          <w:p w14:paraId="67296BF0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5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.5</w:t>
            </w:r>
          </w:p>
        </w:tc>
      </w:tr>
      <w:tr w:rsidR="00A81C73" w:rsidRPr="00844A95" w14:paraId="1227B3D7" w14:textId="77777777" w:rsidTr="00A81C73">
        <w:tc>
          <w:tcPr>
            <w:tcW w:w="1685" w:type="dxa"/>
            <w:tcBorders>
              <w:top w:val="dotted" w:sz="4" w:space="0" w:color="auto"/>
              <w:bottom w:val="single" w:sz="4" w:space="0" w:color="auto"/>
            </w:tcBorders>
          </w:tcPr>
          <w:p w14:paraId="2938EA52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A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nnual growth (%)</w:t>
            </w:r>
          </w:p>
        </w:tc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</w:tcPr>
          <w:p w14:paraId="078215F9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4919E3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7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16E822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5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783455F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5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208FA05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14:paraId="3D6C731C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488E0E0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</w:tr>
      <w:tr w:rsidR="00A81C73" w:rsidRPr="00844A95" w14:paraId="5BF10234" w14:textId="77777777" w:rsidTr="00A81C73">
        <w:tc>
          <w:tcPr>
            <w:tcW w:w="1685" w:type="dxa"/>
            <w:tcBorders>
              <w:bottom w:val="dotted" w:sz="4" w:space="0" w:color="auto"/>
            </w:tcBorders>
          </w:tcPr>
          <w:p w14:paraId="182AF701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O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ther outlets</w:t>
            </w: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4352A82C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6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,085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50A6C69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6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,455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BEDDC7A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6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,793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F2FF01D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7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,113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D1B606D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7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,429</w:t>
            </w: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14:paraId="0E4F11EA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7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,735</w:t>
            </w:r>
          </w:p>
        </w:tc>
        <w:tc>
          <w:tcPr>
            <w:tcW w:w="1389" w:type="dxa"/>
            <w:tcBorders>
              <w:bottom w:val="nil"/>
            </w:tcBorders>
          </w:tcPr>
          <w:p w14:paraId="0A6EE918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.9</w:t>
            </w:r>
          </w:p>
        </w:tc>
      </w:tr>
      <w:tr w:rsidR="00A81C73" w:rsidRPr="00844A95" w14:paraId="631418F2" w14:textId="77777777" w:rsidTr="00A81C73">
        <w:tc>
          <w:tcPr>
            <w:tcW w:w="1685" w:type="dxa"/>
            <w:tcBorders>
              <w:top w:val="dotted" w:sz="4" w:space="0" w:color="auto"/>
              <w:bottom w:val="single" w:sz="4" w:space="0" w:color="auto"/>
            </w:tcBorders>
          </w:tcPr>
          <w:p w14:paraId="47EE5F7B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A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nnual growth (%)</w:t>
            </w:r>
          </w:p>
        </w:tc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</w:tcPr>
          <w:p w14:paraId="1ED1BC5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F321F9A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6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0F34F47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5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1354C35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4B95902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14:paraId="45986DB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3B57347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</w:tr>
      <w:tr w:rsidR="00A81C73" w:rsidRPr="00844A95" w14:paraId="6CAB5E9C" w14:textId="77777777" w:rsidTr="00A81C73">
        <w:tc>
          <w:tcPr>
            <w:tcW w:w="1685" w:type="dxa"/>
            <w:tcBorders>
              <w:bottom w:val="dotted" w:sz="4" w:space="0" w:color="auto"/>
            </w:tcBorders>
          </w:tcPr>
          <w:p w14:paraId="150DF7EC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T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otal market</w:t>
            </w: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53ECE3D0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02,847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1EC7C8D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15,163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8730CD5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26,445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0C01886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37,113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479C20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47,638</w:t>
            </w: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14:paraId="0E14FE87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2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57,827</w:t>
            </w:r>
          </w:p>
        </w:tc>
        <w:tc>
          <w:tcPr>
            <w:tcW w:w="1389" w:type="dxa"/>
            <w:tcBorders>
              <w:bottom w:val="nil"/>
            </w:tcBorders>
          </w:tcPr>
          <w:p w14:paraId="56754A2C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.9</w:t>
            </w:r>
          </w:p>
        </w:tc>
      </w:tr>
      <w:tr w:rsidR="00A81C73" w:rsidRPr="00844A95" w14:paraId="2CA4A8C0" w14:textId="77777777" w:rsidTr="00A81C73">
        <w:tc>
          <w:tcPr>
            <w:tcW w:w="1685" w:type="dxa"/>
            <w:tcBorders>
              <w:top w:val="dotted" w:sz="4" w:space="0" w:color="auto"/>
            </w:tcBorders>
          </w:tcPr>
          <w:p w14:paraId="055984B5" w14:textId="77777777" w:rsidR="00825515" w:rsidRPr="00AF5749" w:rsidRDefault="00825515" w:rsidP="00AB292F">
            <w:pPr>
              <w:spacing w:before="120" w:line="0" w:lineRule="atLeast"/>
              <w:jc w:val="both"/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18"/>
                <w:szCs w:val="18"/>
              </w:rPr>
              <w:t>A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18"/>
                <w:szCs w:val="18"/>
              </w:rPr>
              <w:t>nnual growth (%)</w:t>
            </w:r>
          </w:p>
        </w:tc>
        <w:tc>
          <w:tcPr>
            <w:tcW w:w="1004" w:type="dxa"/>
            <w:tcBorders>
              <w:top w:val="dotted" w:sz="4" w:space="0" w:color="auto"/>
            </w:tcBorders>
          </w:tcPr>
          <w:p w14:paraId="5644B4F2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1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4DE93AA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6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9D39BE1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5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60FC648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6366CD4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162" w:type="dxa"/>
            <w:tcBorders>
              <w:top w:val="dotted" w:sz="4" w:space="0" w:color="auto"/>
            </w:tcBorders>
          </w:tcPr>
          <w:p w14:paraId="20F9F575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AF5749">
              <w:rPr>
                <w:rStyle w:val="palm-block-level"/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4</w:t>
            </w:r>
            <w:r w:rsidRPr="00AF5749"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89" w:type="dxa"/>
            <w:tcBorders>
              <w:top w:val="nil"/>
            </w:tcBorders>
          </w:tcPr>
          <w:p w14:paraId="304A4779" w14:textId="77777777" w:rsidR="00825515" w:rsidRPr="00AF5749" w:rsidRDefault="00825515" w:rsidP="00AB292F">
            <w:pPr>
              <w:spacing w:before="120" w:line="0" w:lineRule="atLeast"/>
              <w:jc w:val="center"/>
              <w:rPr>
                <w:rStyle w:val="palm-block-level"/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</w:tr>
    </w:tbl>
    <w:p w14:paraId="1F647951" w14:textId="1BE160E4" w:rsidR="00825515" w:rsidRPr="00825515" w:rsidRDefault="00825515" w:rsidP="00825515">
      <w:pPr>
        <w:spacing w:before="120" w:line="0" w:lineRule="atLeast"/>
        <w:jc w:val="both"/>
        <w:rPr>
          <w:rFonts w:ascii="Kaiti TC" w:eastAsia="Kaiti TC" w:hAnsi="Kaiti TC"/>
          <w:color w:val="000000" w:themeColor="text1"/>
          <w:sz w:val="22"/>
          <w:szCs w:val="22"/>
        </w:rPr>
      </w:pPr>
      <w:r w:rsidRPr="009122BF">
        <w:rPr>
          <w:rStyle w:val="palm-block-level"/>
          <w:rFonts w:ascii="Kaiti TC" w:eastAsia="Kaiti TC" w:hAnsi="Kaiti TC" w:hint="eastAsia"/>
          <w:color w:val="000000" w:themeColor="text1"/>
          <w:sz w:val="22"/>
          <w:szCs w:val="22"/>
        </w:rPr>
        <w:t>S</w:t>
      </w:r>
      <w:r w:rsidRPr="009122BF">
        <w:rPr>
          <w:rStyle w:val="palm-block-level"/>
          <w:rFonts w:ascii="Kaiti TC" w:eastAsia="Kaiti TC" w:hAnsi="Kaiti TC"/>
          <w:color w:val="000000" w:themeColor="text1"/>
          <w:sz w:val="22"/>
          <w:szCs w:val="22"/>
        </w:rPr>
        <w:t>ource: IQVIA</w:t>
      </w:r>
    </w:p>
    <w:p w14:paraId="216674C8" w14:textId="67BC5C50" w:rsidR="00B97ADD" w:rsidRPr="00E729D9" w:rsidRDefault="00DD046B" w:rsidP="00B97ADD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</w:pPr>
      <w:r w:rsidRPr="00E729D9">
        <w:rPr>
          <w:rFonts w:hint="eastAsia"/>
        </w:rPr>
        <w:t>逾專利期五年內</w:t>
      </w:r>
      <w:r w:rsidRPr="00E729D9">
        <w:rPr>
          <w:rStyle w:val="palm-block-level"/>
          <w:bdr w:val="none" w:sz="0" w:space="0" w:color="auto" w:frame="1"/>
        </w:rPr>
        <w:t>將實行</w:t>
      </w:r>
      <w:r w:rsidR="00B97ADD" w:rsidRPr="00E729D9">
        <w:rPr>
          <w:rStyle w:val="palm-block-level"/>
          <w:bdr w:val="none" w:sz="0" w:space="0" w:color="auto" w:frame="1"/>
        </w:rPr>
        <w:t>年度降價，</w:t>
      </w:r>
      <w:r w:rsidR="00B97ADD" w:rsidRPr="00E729D9">
        <w:rPr>
          <w:rFonts w:hint="eastAsia"/>
        </w:rPr>
        <w:t>逾專利期次年起至第五年</w:t>
      </w:r>
      <w:r w:rsidR="00B97ADD" w:rsidRPr="00E729D9">
        <w:t>將對多源藥</w:t>
      </w:r>
      <w:r w:rsidR="00B97ADD" w:rsidRPr="00E729D9">
        <w:rPr>
          <w:rFonts w:hint="eastAsia"/>
        </w:rPr>
        <w:t>品實施成分層級</w:t>
      </w:r>
      <w:r w:rsidR="00B97ADD" w:rsidRPr="00E729D9">
        <w:rPr>
          <w:rStyle w:val="palm-block-level"/>
          <w:bdr w:val="none" w:sz="0" w:space="0" w:color="auto" w:frame="1"/>
        </w:rPr>
        <w:t>參考價</w:t>
      </w:r>
      <w:r w:rsidR="00B97ADD" w:rsidRPr="00E729D9">
        <w:t>。</w:t>
      </w:r>
      <w:r w:rsidR="00B97ADD" w:rsidRPr="00E729D9">
        <w:rPr>
          <w:rFonts w:cs="Songti TC" w:hint="eastAsia"/>
        </w:rPr>
        <w:t>另外「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全民健康保險藥品價格調整作業辦法</w:t>
      </w:r>
      <w:r w:rsidR="00B97ADD" w:rsidRPr="00E729D9">
        <w:rPr>
          <w:rFonts w:cs="Songti TC" w:hint="eastAsia"/>
        </w:rPr>
        <w:t>」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第</w:t>
      </w:r>
      <w:r w:rsidR="00B97ADD" w:rsidRPr="00E729D9">
        <w:rPr>
          <w:rStyle w:val="palm-block-level"/>
          <w:bdr w:val="none" w:sz="0" w:space="0" w:color="auto" w:frame="1"/>
        </w:rPr>
        <w:t>24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條規定</w:t>
      </w:r>
      <w:r w:rsidR="00B97ADD" w:rsidRPr="00E729D9">
        <w:t>：</w:t>
      </w:r>
      <w:r w:rsidR="00B97ADD" w:rsidRPr="00E729D9">
        <w:rPr>
          <w:rFonts w:hint="eastAsia"/>
        </w:rPr>
        <w:t>罕見疾病用藥或經保險人公告之特殊藥品，其支付價格應每二年檢討調整</w:t>
      </w:r>
      <w:r w:rsidR="00B97ADD" w:rsidRPr="00E729D9">
        <w:rPr>
          <w:rStyle w:val="palm-block-level"/>
          <w:bdr w:val="none" w:sz="0" w:space="0" w:color="auto" w:frame="1"/>
        </w:rPr>
        <w:t>。</w:t>
      </w:r>
      <w:r w:rsidR="00E636EA">
        <w:rPr>
          <w:rStyle w:val="palm-block-level"/>
          <w:rFonts w:hint="eastAsia"/>
          <w:bdr w:val="none" w:sz="0" w:space="0" w:color="auto" w:frame="1"/>
        </w:rPr>
        <w:t>健保署於</w:t>
      </w:r>
      <w:r w:rsidR="00E636EA">
        <w:rPr>
          <w:rStyle w:val="palm-block-level"/>
          <w:bdr w:val="none" w:sz="0" w:space="0" w:color="auto" w:frame="1"/>
        </w:rPr>
        <w:t>2018</w:t>
      </w:r>
      <w:r w:rsidR="00E636EA">
        <w:rPr>
          <w:rStyle w:val="palm-block-level"/>
          <w:rFonts w:hint="eastAsia"/>
          <w:bdr w:val="none" w:sz="0" w:space="0" w:color="auto" w:frame="1"/>
        </w:rPr>
        <w:t>年</w:t>
      </w:r>
      <w:r w:rsidR="00E636EA">
        <w:rPr>
          <w:rStyle w:val="palm-block-level"/>
          <w:bdr w:val="none" w:sz="0" w:space="0" w:color="auto" w:frame="1"/>
        </w:rPr>
        <w:t>12</w:t>
      </w:r>
      <w:r w:rsidR="00E636EA">
        <w:rPr>
          <w:rStyle w:val="palm-block-level"/>
          <w:rFonts w:hint="eastAsia"/>
          <w:bdr w:val="none" w:sz="0" w:space="0" w:color="auto" w:frame="1"/>
        </w:rPr>
        <w:t>月</w:t>
      </w:r>
      <w:r w:rsidR="00E636EA">
        <w:rPr>
          <w:rStyle w:val="palm-block-level"/>
          <w:bdr w:val="none" w:sz="0" w:space="0" w:color="auto" w:frame="1"/>
        </w:rPr>
        <w:t>28</w:t>
      </w:r>
      <w:r w:rsidR="00E636EA">
        <w:rPr>
          <w:rStyle w:val="palm-block-level"/>
          <w:rFonts w:hint="eastAsia"/>
          <w:bdr w:val="none" w:sz="0" w:space="0" w:color="auto" w:frame="1"/>
        </w:rPr>
        <w:t>日公告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4</w:t>
      </w:r>
      <w:r w:rsidR="00B97ADD" w:rsidRPr="00E729D9">
        <w:rPr>
          <w:rStyle w:val="palm-block-level"/>
          <w:bdr w:val="none" w:sz="0" w:space="0" w:color="auto" w:frame="1"/>
        </w:rPr>
        <w:t>6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個</w:t>
      </w:r>
      <w:r w:rsidR="00E636EA" w:rsidRPr="00E636EA">
        <w:rPr>
          <w:rStyle w:val="palm-block-level"/>
          <w:bdr w:val="none" w:sz="0" w:space="0" w:color="auto" w:frame="1"/>
        </w:rPr>
        <w:t>罕見疾病用藥及特殊藥品</w:t>
      </w:r>
      <w:r w:rsidR="00B97ADD" w:rsidRPr="00E729D9">
        <w:rPr>
          <w:rStyle w:val="palm-block-level"/>
          <w:rFonts w:hint="eastAsia"/>
          <w:bdr w:val="none" w:sz="0" w:space="0" w:color="auto" w:frame="1"/>
        </w:rPr>
        <w:t>品項新藥價</w:t>
      </w:r>
      <w:r w:rsidR="00B97ADD" w:rsidRPr="00E729D9">
        <w:rPr>
          <w:rFonts w:hint="eastAsia"/>
        </w:rPr>
        <w:t>自2</w:t>
      </w:r>
      <w:r w:rsidR="00B97ADD" w:rsidRPr="00E729D9">
        <w:t>019年</w:t>
      </w:r>
      <w:r w:rsidR="00B97ADD" w:rsidRPr="00E729D9">
        <w:rPr>
          <w:rFonts w:hint="eastAsia"/>
        </w:rPr>
        <w:t>2月</w:t>
      </w:r>
      <w:r w:rsidR="00B97ADD" w:rsidRPr="00E729D9">
        <w:t>1</w:t>
      </w:r>
      <w:r w:rsidR="00B97ADD" w:rsidRPr="00E729D9">
        <w:rPr>
          <w:rFonts w:hint="eastAsia"/>
        </w:rPr>
        <w:t>日生效</w:t>
      </w:r>
      <w:r w:rsidR="00B97ADD" w:rsidRPr="00E729D9">
        <w:t>。</w:t>
      </w:r>
    </w:p>
    <w:p w14:paraId="62752B37" w14:textId="560EF824" w:rsidR="00825515" w:rsidRPr="00825515" w:rsidRDefault="00E636EA" w:rsidP="00825515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jc w:val="both"/>
      </w:pPr>
      <w:r w:rsidRPr="009122BF">
        <w:t>將繼續努力減少浪費和詐</w:t>
      </w:r>
      <w:r w:rsidR="005A2912" w:rsidRPr="009122BF">
        <w:t>欺</w:t>
      </w:r>
      <w:r w:rsidRPr="009122BF">
        <w:rPr>
          <w:rFonts w:cs="Arial"/>
        </w:rPr>
        <w:t>，</w:t>
      </w:r>
      <w:r w:rsidRPr="009122BF">
        <w:rPr>
          <w:rFonts w:cs="Arial" w:hint="eastAsia"/>
        </w:rPr>
        <w:t>並擴大現有</w:t>
      </w:r>
      <w:r w:rsidRPr="009122BF">
        <w:t>方案的範圍。</w:t>
      </w:r>
      <w:r w:rsidRPr="009122BF">
        <w:rPr>
          <w:rFonts w:hint="eastAsia"/>
        </w:rPr>
        <w:t>健保署</w:t>
      </w:r>
      <w:r w:rsidRPr="009122BF">
        <w:rPr>
          <w:rFonts w:cs="Arial"/>
        </w:rPr>
        <w:t>持續精進健保醫療資訊雲端查詢系統及門診重複用藥管理方案，已於2019年1月起擴大推動「門診重複用藥管理方案」，由現有的12大類</w:t>
      </w:r>
      <w:r w:rsidRPr="009122BF">
        <w:rPr>
          <w:rFonts w:cs="Arial" w:hint="eastAsia"/>
        </w:rPr>
        <w:t>2</w:t>
      </w:r>
      <w:r w:rsidRPr="009122BF">
        <w:rPr>
          <w:rFonts w:cs="Arial"/>
        </w:rPr>
        <w:t>,700</w:t>
      </w:r>
      <w:r w:rsidRPr="009122BF">
        <w:rPr>
          <w:rFonts w:cs="Arial" w:hint="eastAsia"/>
        </w:rPr>
        <w:t>種藥物</w:t>
      </w:r>
      <w:r w:rsidRPr="009122BF">
        <w:rPr>
          <w:rFonts w:cs="Arial"/>
        </w:rPr>
        <w:t>擴大至60大類6,500</w:t>
      </w:r>
      <w:r w:rsidRPr="009122BF">
        <w:rPr>
          <w:rFonts w:cs="Arial" w:hint="eastAsia"/>
        </w:rPr>
        <w:t>種藥物</w:t>
      </w:r>
      <w:r w:rsidRPr="009122BF">
        <w:t>。</w:t>
      </w:r>
      <w:r w:rsidRPr="009122BF">
        <w:rPr>
          <w:rFonts w:cs="Arial"/>
        </w:rPr>
        <w:t>管理範圍約可涵蓋健保七成門診藥費的藥品，其中最高前三類為腫瘤製劑用藥(約14%)、降血壓藥物(約9%)、降血脂藥物(約8%)。</w:t>
      </w:r>
      <w:r w:rsidR="008C244E" w:rsidRPr="00825515">
        <w:rPr>
          <w:rFonts w:hint="eastAsia"/>
        </w:rPr>
        <w:t xml:space="preserve"> </w:t>
      </w:r>
      <w:r w:rsidR="008C244E" w:rsidRPr="00825515">
        <w:t xml:space="preserve"> </w:t>
      </w:r>
    </w:p>
    <w:p w14:paraId="545FF469" w14:textId="5EAF5488" w:rsidR="003947B2" w:rsidRPr="00A81C73" w:rsidRDefault="003947B2" w:rsidP="004B5963">
      <w:pPr>
        <w:pStyle w:val="Web"/>
        <w:spacing w:beforeLines="50" w:before="180" w:beforeAutospacing="0" w:after="0" w:afterAutospacing="0" w:line="0" w:lineRule="atLeast"/>
        <w:rPr>
          <w:color w:val="auto"/>
        </w:rPr>
      </w:pPr>
      <w:r w:rsidRPr="00A81C73">
        <w:rPr>
          <w:rFonts w:cs="Arial" w:hint="eastAsia"/>
        </w:rPr>
        <w:t>(取材自</w:t>
      </w:r>
      <w:r w:rsidR="00A81C73" w:rsidRPr="00A81C73">
        <w:rPr>
          <w:color w:val="28383F"/>
        </w:rPr>
        <w:t>IQVIA Market Prognosis &amp; NHI</w:t>
      </w:r>
      <w:r w:rsidR="0093773E">
        <w:rPr>
          <w:color w:val="28383F"/>
        </w:rPr>
        <w:t>A</w:t>
      </w:r>
      <w:r w:rsidR="00A81C73" w:rsidRPr="00A81C73">
        <w:rPr>
          <w:color w:val="28383F"/>
        </w:rPr>
        <w:t xml:space="preserve"> data</w:t>
      </w:r>
      <w:r w:rsidR="001B0AF3" w:rsidRPr="00A81C73">
        <w:rPr>
          <w:rFonts w:cs="Arial" w:hint="eastAsia"/>
        </w:rPr>
        <w:t>)</w:t>
      </w:r>
    </w:p>
    <w:p w14:paraId="488DEBE9" w14:textId="1B26A072" w:rsidR="003F1D0E" w:rsidRPr="000C024A" w:rsidRDefault="001B0AF3" w:rsidP="006A4FAD">
      <w:pPr>
        <w:shd w:val="clear" w:color="auto" w:fill="FFFFFF"/>
        <w:spacing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8A63" w14:textId="77777777" w:rsidR="00C0452E" w:rsidRDefault="00C0452E" w:rsidP="00D432A3">
      <w:pPr>
        <w:spacing w:before="120"/>
      </w:pPr>
      <w:r>
        <w:separator/>
      </w:r>
    </w:p>
  </w:endnote>
  <w:endnote w:type="continuationSeparator" w:id="0">
    <w:p w14:paraId="40A5B54E" w14:textId="77777777" w:rsidR="00C0452E" w:rsidRDefault="00C0452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Yuppy TC">
    <w:panose1 w:val="020F0603040207020204"/>
    <w:charset w:val="88"/>
    <w:family w:val="swiss"/>
    <w:notTrueType/>
    <w:pitch w:val="variable"/>
    <w:sig w:usb0="A00002FF" w:usb1="7ACFFCFB" w:usb2="0000001E" w:usb3="00000000" w:csb0="00140197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10E2" w14:textId="77777777" w:rsidR="00C0452E" w:rsidRDefault="00C0452E" w:rsidP="00D432A3">
      <w:pPr>
        <w:spacing w:before="120"/>
      </w:pPr>
      <w:r>
        <w:separator/>
      </w:r>
    </w:p>
  </w:footnote>
  <w:footnote w:type="continuationSeparator" w:id="0">
    <w:p w14:paraId="417A9086" w14:textId="77777777" w:rsidR="00C0452E" w:rsidRDefault="00C0452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395F"/>
    <w:multiLevelType w:val="multilevel"/>
    <w:tmpl w:val="7F4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401BD"/>
    <w:multiLevelType w:val="multilevel"/>
    <w:tmpl w:val="E15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F1A9E"/>
    <w:multiLevelType w:val="hybridMultilevel"/>
    <w:tmpl w:val="E108A1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AD8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091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CD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33A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74D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770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2FC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78D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D22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14D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53B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7B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990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39F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BFF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62D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A7F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2D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68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63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CEE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D6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BE5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CCA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4CD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912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890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48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B19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6A"/>
    <w:rsid w:val="006A44E7"/>
    <w:rsid w:val="006A4641"/>
    <w:rsid w:val="006A467E"/>
    <w:rsid w:val="006A46AD"/>
    <w:rsid w:val="006A47B0"/>
    <w:rsid w:val="006A4AC1"/>
    <w:rsid w:val="006A4F67"/>
    <w:rsid w:val="006A4FAD"/>
    <w:rsid w:val="006A51FC"/>
    <w:rsid w:val="006A53F2"/>
    <w:rsid w:val="006A547D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3AA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2F3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CD0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6D1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52A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54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91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515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95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1AD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0CB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2F50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C67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1EE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2BF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5CF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376"/>
    <w:rsid w:val="00937476"/>
    <w:rsid w:val="00937484"/>
    <w:rsid w:val="0093748E"/>
    <w:rsid w:val="00937584"/>
    <w:rsid w:val="009376E7"/>
    <w:rsid w:val="0093773E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04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604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3C7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76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CE9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C73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A71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49"/>
    <w:rsid w:val="00AF5756"/>
    <w:rsid w:val="00AF580F"/>
    <w:rsid w:val="00AF585D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0C1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ADD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00C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20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2E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4E34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95B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39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1F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CF7FA4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6FC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8E9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BEB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46B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B2B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769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9D3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40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6EA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9D9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BAB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D36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295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BBD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1F0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CC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09B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BC0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6E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B82-E9B4-5046-BA74-A184F56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66</cp:revision>
  <cp:lastPrinted>2019-05-17T02:22:00Z</cp:lastPrinted>
  <dcterms:created xsi:type="dcterms:W3CDTF">2019-05-06T11:01:00Z</dcterms:created>
  <dcterms:modified xsi:type="dcterms:W3CDTF">2019-05-18T16:23:00Z</dcterms:modified>
</cp:coreProperties>
</file>