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15FC8E0C" w:rsidR="00A54EB9" w:rsidRPr="001B1F05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color w:val="000000" w:themeColor="text1"/>
        </w:rPr>
        <w:t>201</w:t>
      </w:r>
      <w:r w:rsidR="00C143D1" w:rsidRPr="00EC7883">
        <w:rPr>
          <w:rFonts w:ascii="Kaiti TC" w:eastAsia="Kaiti TC" w:hAnsi="Kaiti TC"/>
          <w:color w:val="000000" w:themeColor="text1"/>
        </w:rPr>
        <w:t>8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F17692" w:rsidRPr="00EC7883">
        <w:rPr>
          <w:rFonts w:ascii="Kaiti TC" w:eastAsia="Kaiti TC" w:hAnsi="Kaiti TC"/>
          <w:color w:val="000000" w:themeColor="text1"/>
        </w:rPr>
        <w:t>05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ED3B2B">
        <w:rPr>
          <w:rFonts w:ascii="Kaiti TC" w:eastAsia="Kaiti TC" w:hAnsi="Kaiti TC"/>
          <w:color w:val="000000" w:themeColor="text1"/>
        </w:rPr>
        <w:t>28</w:t>
      </w:r>
    </w:p>
    <w:p w14:paraId="13CB33E9" w14:textId="77777777" w:rsidR="000D6011" w:rsidRPr="00EC7883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CAA630E" w14:textId="77777777" w:rsidR="00D83103" w:rsidRPr="00D83103" w:rsidRDefault="00ED3B2B" w:rsidP="00D83103">
      <w:pPr>
        <w:rPr>
          <w:rFonts w:ascii="Kaiti TC" w:eastAsia="Kaiti TC" w:hAnsi="Kaiti TC"/>
          <w:b/>
          <w:sz w:val="32"/>
          <w:szCs w:val="32"/>
        </w:rPr>
      </w:pPr>
      <w:r w:rsidRPr="00D83103">
        <w:rPr>
          <w:rFonts w:ascii="Kaiti TC" w:eastAsia="Kaiti TC" w:hAnsi="Kaiti TC"/>
          <w:b/>
          <w:color w:val="333333"/>
          <w:sz w:val="32"/>
          <w:szCs w:val="32"/>
          <w:shd w:val="clear" w:color="auto" w:fill="FFFFFF"/>
        </w:rPr>
        <w:t>曇花一現或</w:t>
      </w:r>
      <w:r w:rsidR="00D83103" w:rsidRPr="00D83103">
        <w:rPr>
          <w:rFonts w:ascii="Kaiti TC" w:eastAsia="Kaiti TC" w:hAnsi="Kaiti TC"/>
          <w:b/>
          <w:color w:val="000000"/>
          <w:sz w:val="32"/>
          <w:szCs w:val="32"/>
          <w:shd w:val="clear" w:color="auto" w:fill="FFFFFF"/>
        </w:rPr>
        <w:t>重大新變數</w:t>
      </w:r>
      <w:r w:rsidR="00D83103" w:rsidRPr="00D83103">
        <w:rPr>
          <w:rStyle w:val="apple-converted-space"/>
          <w:rFonts w:ascii="Kaiti TC" w:eastAsia="Kaiti TC" w:hAnsi="Kaiti TC"/>
          <w:b/>
          <w:color w:val="000000"/>
          <w:sz w:val="32"/>
          <w:szCs w:val="32"/>
          <w:shd w:val="clear" w:color="auto" w:fill="FFFFFF"/>
        </w:rPr>
        <w:t> </w:t>
      </w:r>
    </w:p>
    <w:p w14:paraId="2F932DB3" w14:textId="3C410B71" w:rsidR="00431F36" w:rsidRPr="00D2216C" w:rsidRDefault="00C3652B" w:rsidP="00F778D6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世界各地的醫療保健系統正在快速</w:t>
      </w:r>
      <w:r w:rsidR="003E03BD" w:rsidRPr="00D2216C">
        <w:rPr>
          <w:rFonts w:ascii="Kaiti TC" w:eastAsia="Kaiti TC" w:hAnsi="Kaiti TC" w:cs="Arial" w:hint="eastAsia"/>
          <w:color w:val="000000" w:themeColor="text1"/>
        </w:rPr>
        <w:t>發展</w:t>
      </w:r>
      <w:r w:rsidRPr="00D2216C">
        <w:rPr>
          <w:rFonts w:ascii="Kaiti TC" w:eastAsia="Kaiti TC" w:hAnsi="Kaiti TC" w:cs="Arial"/>
          <w:color w:val="000000" w:themeColor="text1"/>
        </w:rPr>
        <w:t>，或者已經處於突破點，並在其有限</w:t>
      </w:r>
      <w:r w:rsidR="00C8202A" w:rsidRPr="00D2216C">
        <w:rPr>
          <w:rFonts w:ascii="Kaiti TC" w:eastAsia="Kaiti TC" w:hAnsi="Kaiti TC" w:cs="Arial"/>
          <w:color w:val="000000" w:themeColor="text1"/>
        </w:rPr>
        <w:t>的</w:t>
      </w:r>
      <w:r w:rsidRPr="00D2216C">
        <w:rPr>
          <w:rFonts w:ascii="Kaiti TC" w:eastAsia="Kaiti TC" w:hAnsi="Kaiti TC" w:cs="Arial"/>
          <w:color w:val="000000" w:themeColor="text1"/>
        </w:rPr>
        <w:t>資</w:t>
      </w:r>
      <w:r w:rsidRPr="00D2216C">
        <w:rPr>
          <w:rFonts w:ascii="Kaiti TC" w:eastAsia="Kaiti TC" w:hAnsi="Kaiti TC" w:cs="Arial" w:hint="eastAsia"/>
          <w:color w:val="000000" w:themeColor="text1"/>
        </w:rPr>
        <w:t>源下</w:t>
      </w:r>
      <w:r w:rsidRPr="00D2216C">
        <w:rPr>
          <w:rFonts w:ascii="Kaiti TC" w:eastAsia="Kaiti TC" w:hAnsi="Kaiti TC" w:cs="Arial"/>
          <w:color w:val="000000" w:themeColor="text1"/>
        </w:rPr>
        <w:t>努力平衡眾多需求。</w:t>
      </w:r>
      <w:r w:rsidR="005929D8" w:rsidRPr="00D2216C">
        <w:rPr>
          <w:rFonts w:ascii="Kaiti TC" w:eastAsia="Kaiti TC" w:hAnsi="Kaiti TC" w:cs="Arial"/>
          <w:color w:val="000000" w:themeColor="text1"/>
        </w:rPr>
        <w:t>從歷史上看</w:t>
      </w:r>
      <w:r w:rsidR="005929D8" w:rsidRPr="00D2216C">
        <w:rPr>
          <w:rFonts w:ascii="Kaiti TC" w:eastAsia="Kaiti TC" w:hAnsi="Kaiti TC"/>
          <w:color w:val="000000" w:themeColor="text1"/>
        </w:rPr>
        <w:t>，</w:t>
      </w:r>
      <w:r w:rsidRPr="00D2216C">
        <w:rPr>
          <w:rFonts w:ascii="Kaiti TC" w:eastAsia="Kaiti TC" w:hAnsi="Kaiti TC" w:cs="Arial"/>
          <w:color w:val="000000" w:themeColor="text1"/>
        </w:rPr>
        <w:t>醫療保健是根據數量而不是價值和結果支付的。</w:t>
      </w:r>
      <w:r w:rsidR="00CC2EED" w:rsidRPr="00D2216C">
        <w:rPr>
          <w:rFonts w:ascii="Kaiti TC" w:eastAsia="Kaiti TC" w:hAnsi="Kaiti TC" w:cs="Arial" w:hint="eastAsia"/>
          <w:color w:val="000000" w:themeColor="text1"/>
        </w:rPr>
        <w:t>依</w:t>
      </w:r>
      <w:r w:rsidR="005929D8" w:rsidRPr="00D2216C">
        <w:rPr>
          <w:rFonts w:ascii="Kaiti TC" w:eastAsia="Kaiti TC" w:hAnsi="Kaiti TC" w:cs="Arial" w:hint="eastAsia"/>
          <w:color w:val="000000" w:themeColor="text1"/>
        </w:rPr>
        <w:t>療效結果為基礎的協議</w:t>
      </w:r>
      <w:r w:rsidR="00CC2EED" w:rsidRPr="00D2216C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5929D8" w:rsidRPr="00D2216C">
        <w:rPr>
          <w:rStyle w:val="a5"/>
          <w:rFonts w:ascii="Kaiti TC" w:eastAsia="Kaiti TC" w:hAnsi="Kaiti TC"/>
          <w:color w:val="000000" w:themeColor="text1"/>
        </w:rPr>
        <w:t>(Outcomes-based contracting</w:t>
      </w:r>
      <w:r w:rsidR="005929D8" w:rsidRPr="00D2216C">
        <w:rPr>
          <w:rFonts w:ascii="Kaiti TC" w:eastAsia="Kaiti TC" w:hAnsi="Kaiti TC" w:cs="Arial"/>
          <w:color w:val="000000" w:themeColor="text1"/>
        </w:rPr>
        <w:t>，</w:t>
      </w:r>
      <w:r w:rsidR="005929D8" w:rsidRPr="00D2216C">
        <w:rPr>
          <w:rStyle w:val="a5"/>
          <w:rFonts w:ascii="Kaiti TC" w:eastAsia="Kaiti TC" w:hAnsi="Kaiti TC"/>
          <w:color w:val="000000" w:themeColor="text1"/>
        </w:rPr>
        <w:t>OBC)</w:t>
      </w:r>
      <w:r w:rsidR="00CC2EED" w:rsidRPr="00D2216C">
        <w:rPr>
          <w:rFonts w:ascii="Kaiti TC" w:eastAsia="Kaiti TC" w:hAnsi="Kaiti TC"/>
          <w:color w:val="000000" w:themeColor="text1"/>
        </w:rPr>
        <w:t xml:space="preserve"> 提供了一種不同的方法來應對這些挑戰</w:t>
      </w:r>
      <w:r w:rsidR="00CC2EED" w:rsidRPr="00D2216C">
        <w:rPr>
          <w:rFonts w:ascii="Kaiti TC" w:eastAsia="Kaiti TC" w:hAnsi="Kaiti TC" w:cs="Arial"/>
          <w:color w:val="000000" w:themeColor="text1"/>
        </w:rPr>
        <w:t>，</w:t>
      </w:r>
      <w:r w:rsidR="00CC2EED" w:rsidRPr="00D2216C">
        <w:rPr>
          <w:rFonts w:ascii="Kaiti TC" w:eastAsia="Kaiti TC" w:hAnsi="Kaiti TC" w:cs="Arial" w:hint="eastAsia"/>
          <w:color w:val="000000" w:themeColor="text1"/>
        </w:rPr>
        <w:t>亦即</w:t>
      </w:r>
      <w:r w:rsidR="00CC2EED" w:rsidRPr="00D2216C">
        <w:rPr>
          <w:rFonts w:ascii="Kaiti TC" w:eastAsia="Kaiti TC" w:hAnsi="Kaiti TC" w:cs="Arial"/>
          <w:color w:val="000000" w:themeColor="text1"/>
        </w:rPr>
        <w:t>根據</w:t>
      </w:r>
      <w:r w:rsidR="009E4C50" w:rsidRPr="00D2216C">
        <w:rPr>
          <w:rFonts w:ascii="Kaiti TC" w:eastAsia="Kaiti TC" w:hAnsi="Kaiti TC" w:cs="Arial" w:hint="eastAsia"/>
          <w:color w:val="000000" w:themeColor="text1"/>
        </w:rPr>
        <w:t>使用</w:t>
      </w:r>
      <w:r w:rsidR="00CC2EED" w:rsidRPr="00D2216C">
        <w:rPr>
          <w:rFonts w:ascii="Kaiti TC" w:eastAsia="Kaiti TC" w:hAnsi="Kaiti TC" w:cs="Arial"/>
          <w:color w:val="000000" w:themeColor="text1"/>
        </w:rPr>
        <w:t>的結果</w:t>
      </w:r>
      <w:r w:rsidR="009E4C50" w:rsidRPr="00D2216C">
        <w:rPr>
          <w:rFonts w:ascii="Kaiti TC" w:eastAsia="Kaiti TC" w:hAnsi="Kaiti TC" w:cs="Arial"/>
          <w:color w:val="000000" w:themeColor="text1"/>
        </w:rPr>
        <w:t>並將付款與實現具體的績效標準掛鉤</w:t>
      </w:r>
      <w:r w:rsidR="001969D6" w:rsidRPr="00D2216C">
        <w:rPr>
          <w:rFonts w:ascii="Kaiti TC" w:eastAsia="Kaiti TC" w:hAnsi="Kaiti TC" w:cs="Arial"/>
          <w:color w:val="000000" w:themeColor="text1"/>
        </w:rPr>
        <w:t>，</w:t>
      </w:r>
      <w:r w:rsidR="00CC2EED" w:rsidRPr="00D2216C">
        <w:rPr>
          <w:rFonts w:ascii="Kaiti TC" w:eastAsia="Kaiti TC" w:hAnsi="Kaiti TC" w:cs="Arial"/>
          <w:color w:val="000000" w:themeColor="text1"/>
        </w:rPr>
        <w:t>進行醫療保健</w:t>
      </w:r>
      <w:r w:rsidR="009E4C50" w:rsidRPr="00D2216C">
        <w:rPr>
          <w:rFonts w:ascii="Kaiti TC" w:eastAsia="Kaiti TC" w:hAnsi="Kaiti TC" w:cs="Arial" w:hint="eastAsia"/>
          <w:color w:val="000000" w:themeColor="text1"/>
        </w:rPr>
        <w:t>運作</w:t>
      </w:r>
      <w:r w:rsidR="00CC2EED" w:rsidRPr="00D2216C">
        <w:rPr>
          <w:rFonts w:ascii="Kaiti TC" w:eastAsia="Kaiti TC" w:hAnsi="Kaiti TC" w:cs="Arial"/>
          <w:color w:val="000000" w:themeColor="text1"/>
        </w:rPr>
        <w:t>。</w:t>
      </w:r>
      <w:r w:rsidR="009E4C50" w:rsidRPr="00D2216C">
        <w:rPr>
          <w:rFonts w:ascii="Kaiti TC" w:eastAsia="Kaiti TC" w:hAnsi="Kaiti TC" w:cs="Arial"/>
          <w:color w:val="000000" w:themeColor="text1"/>
        </w:rPr>
        <w:t>它日益被視為是將支付與價值掛鉤一種可行的、或許是唯一可持續的方式。這反過來</w:t>
      </w:r>
      <w:r w:rsidR="00431F36" w:rsidRPr="00D2216C">
        <w:rPr>
          <w:rFonts w:ascii="Kaiti TC" w:eastAsia="Kaiti TC" w:hAnsi="Kaiti TC" w:cs="Arial"/>
          <w:color w:val="000000" w:themeColor="text1"/>
        </w:rPr>
        <w:t>激勵</w:t>
      </w:r>
      <w:r w:rsidR="00431F36" w:rsidRPr="00D2216C">
        <w:rPr>
          <w:rFonts w:ascii="Kaiti TC" w:eastAsia="Kaiti TC" w:hAnsi="Kaiti TC" w:cs="Arial" w:hint="eastAsia"/>
          <w:color w:val="000000" w:themeColor="text1"/>
        </w:rPr>
        <w:t>並</w:t>
      </w:r>
      <w:r w:rsidR="00431F36" w:rsidRPr="00D2216C">
        <w:rPr>
          <w:rFonts w:ascii="Kaiti TC" w:eastAsia="Kaiti TC" w:hAnsi="Kaiti TC" w:cs="Arial"/>
          <w:color w:val="000000" w:themeColor="text1"/>
        </w:rPr>
        <w:t>使整個系統</w:t>
      </w:r>
      <w:r w:rsidR="00113A04" w:rsidRPr="00D2216C">
        <w:rPr>
          <w:rFonts w:ascii="Kaiti TC" w:eastAsia="Kaiti TC" w:hAnsi="Kaiti TC" w:cs="Arial" w:hint="eastAsia"/>
          <w:color w:val="000000" w:themeColor="text1"/>
        </w:rPr>
        <w:t>更</w:t>
      </w:r>
      <w:r w:rsidR="00113A04" w:rsidRPr="00D2216C">
        <w:rPr>
          <w:rFonts w:ascii="Kaiti TC" w:eastAsia="Kaiti TC" w:hAnsi="Kaiti TC" w:hint="eastAsia"/>
          <w:color w:val="000000" w:themeColor="text1"/>
        </w:rPr>
        <w:t>有</w:t>
      </w:r>
      <w:r w:rsidR="00431F36" w:rsidRPr="00D2216C">
        <w:rPr>
          <w:rFonts w:ascii="Kaiti TC" w:eastAsia="Kaiti TC" w:hAnsi="Kaiti TC"/>
          <w:color w:val="000000" w:themeColor="text1"/>
        </w:rPr>
        <w:t>效率和效</w:t>
      </w:r>
      <w:r w:rsidR="00A121E5" w:rsidRPr="00D2216C">
        <w:rPr>
          <w:rFonts w:ascii="Kaiti TC" w:eastAsia="Kaiti TC" w:hAnsi="Kaiti TC" w:hint="eastAsia"/>
          <w:color w:val="000000" w:themeColor="text1"/>
        </w:rPr>
        <w:t>果</w:t>
      </w:r>
      <w:r w:rsidR="00431F36" w:rsidRPr="00D2216C">
        <w:rPr>
          <w:rFonts w:ascii="Kaiti TC" w:eastAsia="Kaiti TC" w:hAnsi="Kaiti TC" w:cs="Arial"/>
          <w:color w:val="000000" w:themeColor="text1"/>
        </w:rPr>
        <w:t>。</w:t>
      </w:r>
    </w:p>
    <w:p w14:paraId="25DB9EB9" w14:textId="19F85428" w:rsidR="003F4A41" w:rsidRPr="00D2216C" w:rsidRDefault="003F4A41" w:rsidP="003F4A4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OBC</w:t>
      </w:r>
      <w:r w:rsidR="004E788F" w:rsidRPr="00D2216C">
        <w:rPr>
          <w:rFonts w:ascii="Kaiti TC" w:eastAsia="Kaiti TC" w:hAnsi="Kaiti TC" w:cs="Arial"/>
          <w:color w:val="000000" w:themeColor="text1"/>
        </w:rPr>
        <w:t>不僅提供了更好的患者經驗和結果</w:t>
      </w:r>
      <w:r w:rsidR="001969D6">
        <w:rPr>
          <w:rFonts w:ascii="Kaiti TC" w:eastAsia="Kaiti TC" w:hAnsi="Kaiti TC" w:cs="Arial"/>
          <w:color w:val="000000" w:themeColor="text1"/>
        </w:rPr>
        <w:t>，還提供了價格和治療效果之間的明確</w:t>
      </w:r>
      <w:r w:rsidR="001969D6">
        <w:rPr>
          <w:rFonts w:ascii="Kaiti TC" w:eastAsia="Kaiti TC" w:hAnsi="Kaiti TC" w:cs="Arial" w:hint="eastAsia"/>
          <w:color w:val="000000" w:themeColor="text1"/>
        </w:rPr>
        <w:t>連結</w:t>
      </w:r>
      <w:r w:rsidR="00067FDE" w:rsidRPr="00D2216C">
        <w:rPr>
          <w:rFonts w:ascii="Kaiti TC" w:eastAsia="Kaiti TC" w:hAnsi="Kaiti TC" w:cs="Arial"/>
          <w:color w:val="000000" w:themeColor="text1"/>
        </w:rPr>
        <w:t>，</w:t>
      </w:r>
      <w:r w:rsidR="00067FDE" w:rsidRPr="00D2216C">
        <w:rPr>
          <w:rFonts w:ascii="Kaiti TC" w:eastAsia="Kaiti TC" w:hAnsi="Kaiti TC"/>
          <w:color w:val="000000" w:themeColor="text1"/>
        </w:rPr>
        <w:t>並激勵製造商在醫療保健中發揮更廣泛的作用</w:t>
      </w:r>
      <w:r w:rsidRPr="00D2216C">
        <w:rPr>
          <w:rFonts w:ascii="Kaiti TC" w:eastAsia="Kaiti TC" w:hAnsi="Kaiti TC" w:cs="Arial"/>
          <w:color w:val="000000" w:themeColor="text1"/>
        </w:rPr>
        <w:t>。對於生命科學公司也有很大的好處，包括從根本上改變與客戶的關係，將對話</w:t>
      </w:r>
      <w:r w:rsidRPr="00D2216C">
        <w:rPr>
          <w:rFonts w:ascii="Kaiti TC" w:eastAsia="Kaiti TC" w:hAnsi="Kaiti TC"/>
          <w:color w:val="000000" w:themeColor="text1"/>
        </w:rPr>
        <w:t>從價格轉移到價值，</w:t>
      </w:r>
      <w:r w:rsidRPr="00D2216C">
        <w:rPr>
          <w:rFonts w:ascii="Kaiti TC" w:eastAsia="Kaiti TC" w:hAnsi="Kaiti TC" w:cs="Arial"/>
          <w:color w:val="000000" w:themeColor="text1"/>
        </w:rPr>
        <w:t>甚至</w:t>
      </w:r>
      <w:r w:rsidRPr="00D2216C">
        <w:rPr>
          <w:rFonts w:ascii="Kaiti TC" w:eastAsia="Kaiti TC" w:hAnsi="Kaiti TC" w:cs="Arial" w:hint="eastAsia"/>
          <w:color w:val="000000" w:themeColor="text1"/>
        </w:rPr>
        <w:t>為</w:t>
      </w:r>
      <w:r w:rsidRPr="00D2216C">
        <w:rPr>
          <w:rFonts w:ascii="Kaiti TC" w:eastAsia="Kaiti TC" w:hAnsi="Kaiti TC"/>
          <w:color w:val="000000" w:themeColor="text1"/>
        </w:rPr>
        <w:t>新</w:t>
      </w:r>
      <w:r w:rsidRPr="00D2216C">
        <w:rPr>
          <w:rFonts w:ascii="Kaiti TC" w:eastAsia="Kaiti TC" w:hAnsi="Kaiti TC" w:cs="Arial"/>
          <w:color w:val="000000" w:themeColor="text1"/>
        </w:rPr>
        <w:t>的</w:t>
      </w:r>
      <w:r w:rsidRPr="00D2216C">
        <w:rPr>
          <w:rFonts w:ascii="Kaiti TC" w:eastAsia="Kaiti TC" w:hAnsi="Kaiti TC"/>
          <w:color w:val="000000" w:themeColor="text1"/>
        </w:rPr>
        <w:t>營收來源創造機會</w:t>
      </w:r>
      <w:r w:rsidRPr="00D2216C">
        <w:rPr>
          <w:rFonts w:ascii="Kaiti TC" w:eastAsia="Kaiti TC" w:hAnsi="Kaiti TC" w:cs="Arial"/>
          <w:color w:val="000000" w:themeColor="text1"/>
        </w:rPr>
        <w:t>。</w:t>
      </w:r>
    </w:p>
    <w:p w14:paraId="7E9FC696" w14:textId="05C45B32" w:rsidR="001F61AD" w:rsidRPr="00D2216C" w:rsidRDefault="001F61AD" w:rsidP="001969D6">
      <w:pPr>
        <w:pStyle w:val="a7"/>
        <w:numPr>
          <w:ilvl w:val="0"/>
          <w:numId w:val="7"/>
        </w:numPr>
        <w:shd w:val="clear" w:color="auto" w:fill="FFFFFF"/>
        <w:spacing w:before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  <w:szCs w:val="21"/>
        </w:rPr>
      </w:pPr>
      <w:r w:rsidRPr="00D2216C">
        <w:rPr>
          <w:rFonts w:ascii="Kaiti TC" w:eastAsia="Kaiti TC" w:hAnsi="Kaiti TC"/>
          <w:b/>
          <w:color w:val="000000" w:themeColor="text1"/>
          <w:szCs w:val="21"/>
        </w:rPr>
        <w:t>歷史性的</w:t>
      </w:r>
      <w:r w:rsidRPr="00D2216C">
        <w:rPr>
          <w:rFonts w:ascii="Kaiti TC" w:eastAsia="Kaiti TC" w:hAnsi="Kaiti TC" w:cs="Arial"/>
          <w:b/>
          <w:color w:val="000000" w:themeColor="text1"/>
        </w:rPr>
        <w:t>障礙</w:t>
      </w:r>
      <w:r w:rsidRPr="00D2216C">
        <w:rPr>
          <w:rFonts w:ascii="Kaiti TC" w:eastAsia="Kaiti TC" w:hAnsi="Kaiti TC"/>
          <w:b/>
          <w:color w:val="000000" w:themeColor="text1"/>
          <w:szCs w:val="21"/>
        </w:rPr>
        <w:t>正在迅速消失</w:t>
      </w:r>
    </w:p>
    <w:p w14:paraId="66975F39" w14:textId="330F2273" w:rsidR="005D40BD" w:rsidRPr="00D2216C" w:rsidRDefault="00F97B07" w:rsidP="003F4A41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OBC</w:t>
      </w:r>
      <w:r w:rsidR="001F61AD" w:rsidRPr="00D2216C">
        <w:rPr>
          <w:rFonts w:ascii="Kaiti TC" w:eastAsia="Kaiti TC" w:hAnsi="Kaiti TC" w:cs="Arial"/>
          <w:color w:val="000000" w:themeColor="text1"/>
        </w:rPr>
        <w:t>有許多歷史性的障礙，</w:t>
      </w:r>
      <w:r w:rsidR="005D40BD" w:rsidRPr="00D2216C">
        <w:rPr>
          <w:rFonts w:ascii="Kaiti TC" w:eastAsia="Kaiti TC" w:hAnsi="Kaiti TC" w:cs="Arial"/>
          <w:color w:val="000000" w:themeColor="text1"/>
        </w:rPr>
        <w:t>但今天的領導者正在設法克服這些障礙，以利用現有的重大機會：</w:t>
      </w:r>
    </w:p>
    <w:p w14:paraId="75DEFAC6" w14:textId="7D4F5350" w:rsidR="009B1681" w:rsidRPr="00D2216C" w:rsidRDefault="005D17C9" w:rsidP="001969D6">
      <w:pPr>
        <w:pStyle w:val="a7"/>
        <w:numPr>
          <w:ilvl w:val="0"/>
          <w:numId w:val="2"/>
        </w:numPr>
        <w:spacing w:before="180" w:line="0" w:lineRule="atLeast"/>
        <w:ind w:leftChars="0" w:left="482" w:hanging="482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t>障礙</w:t>
      </w:r>
      <w:r w:rsidR="00FE4F69" w:rsidRPr="00D2216C">
        <w:rPr>
          <w:rFonts w:ascii="Kaiti TC" w:eastAsia="Kaiti TC" w:hAnsi="Kaiti TC" w:cs="Arial"/>
          <w:b/>
          <w:color w:val="000000" w:themeColor="text1"/>
        </w:rPr>
        <w:t>：</w:t>
      </w:r>
      <w:r w:rsidR="00B96560" w:rsidRPr="00D2216C">
        <w:rPr>
          <w:rFonts w:ascii="Kaiti TC" w:eastAsia="Kaiti TC" w:hAnsi="Kaiti TC"/>
          <w:b/>
          <w:color w:val="000000" w:themeColor="text1"/>
        </w:rPr>
        <w:t>「</w:t>
      </w:r>
      <w:r w:rsidR="009B1681" w:rsidRPr="00D2216C">
        <w:rPr>
          <w:rFonts w:ascii="Kaiti TC" w:eastAsia="Kaiti TC" w:hAnsi="Kaiti TC" w:cs="Arial"/>
          <w:b/>
          <w:color w:val="000000" w:themeColor="text1"/>
        </w:rPr>
        <w:t>我們無法就正確的結果達成一致，更不用說影響</w:t>
      </w:r>
      <w:r w:rsidR="009B1681" w:rsidRPr="00D2216C">
        <w:rPr>
          <w:rFonts w:ascii="Kaiti TC" w:eastAsia="Kaiti TC" w:hAnsi="Kaiti TC" w:cs="Arial" w:hint="eastAsia"/>
          <w:b/>
          <w:color w:val="000000" w:themeColor="text1"/>
        </w:rPr>
        <w:t>它</w:t>
      </w:r>
      <w:r w:rsidR="009B1681" w:rsidRPr="00D2216C">
        <w:rPr>
          <w:rFonts w:ascii="Kaiti TC" w:eastAsia="Kaiti TC" w:hAnsi="Kaiti TC" w:cs="Arial"/>
          <w:b/>
          <w:color w:val="000000" w:themeColor="text1"/>
        </w:rPr>
        <w:t>們了。</w:t>
      </w:r>
      <w:r w:rsidR="00B96560" w:rsidRPr="00D2216C">
        <w:rPr>
          <w:rFonts w:ascii="Kaiti TC" w:eastAsia="Kaiti TC" w:hAnsi="Kaiti TC" w:cs="Arial"/>
          <w:b/>
          <w:color w:val="000000" w:themeColor="text1"/>
        </w:rPr>
        <w:t>」</w:t>
      </w:r>
    </w:p>
    <w:p w14:paraId="34A28A8D" w14:textId="77777777" w:rsidR="007E2DC4" w:rsidRPr="00D2216C" w:rsidRDefault="009B1681" w:rsidP="007A2F86">
      <w:pPr>
        <w:spacing w:line="0" w:lineRule="atLeast"/>
        <w:ind w:firstLineChars="200" w:firstLine="48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t>方法：</w:t>
      </w:r>
    </w:p>
    <w:p w14:paraId="20FA7471" w14:textId="50A76AA5" w:rsidR="009B1681" w:rsidRPr="00D2216C" w:rsidRDefault="007E2DC4" w:rsidP="00A441ED">
      <w:pPr>
        <w:pStyle w:val="a7"/>
        <w:numPr>
          <w:ilvl w:val="0"/>
          <w:numId w:val="3"/>
        </w:numPr>
        <w:spacing w:before="180" w:line="0" w:lineRule="atLeast"/>
        <w:ind w:leftChars="0" w:left="964" w:hanging="482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針對更具創新性、前瞻性的客戶，以他們的意願</w:t>
      </w:r>
      <w:r w:rsidRPr="00D2216C">
        <w:rPr>
          <w:rFonts w:ascii="Kaiti TC" w:eastAsia="Kaiti TC" w:hAnsi="Kaiti TC"/>
          <w:color w:val="000000" w:themeColor="text1"/>
        </w:rPr>
        <w:t>和需要</w:t>
      </w:r>
      <w:r w:rsidRPr="00D2216C">
        <w:rPr>
          <w:rFonts w:ascii="Kaiti TC" w:eastAsia="Kaiti TC" w:hAnsi="Kaiti TC" w:cs="Arial"/>
          <w:color w:val="000000" w:themeColor="text1"/>
        </w:rPr>
        <w:t>為基礎，並根據共同願景、透明度和早期</w:t>
      </w:r>
      <w:r w:rsidR="00CF5B60" w:rsidRPr="00D2216C">
        <w:rPr>
          <w:rFonts w:ascii="Kaiti TC" w:eastAsia="Kaiti TC" w:hAnsi="Kaiti TC" w:cs="Arial" w:hint="eastAsia"/>
          <w:color w:val="000000" w:themeColor="text1"/>
        </w:rPr>
        <w:t>協</w:t>
      </w:r>
      <w:r w:rsidRPr="00D2216C">
        <w:rPr>
          <w:rFonts w:ascii="Kaiti TC" w:eastAsia="Kaiti TC" w:hAnsi="Kaiti TC" w:cs="Arial"/>
          <w:color w:val="000000" w:themeColor="text1"/>
        </w:rPr>
        <w:t>作建立信任關係</w:t>
      </w:r>
      <w:r w:rsidRPr="00D2216C">
        <w:rPr>
          <w:rFonts w:ascii="Kaiti TC" w:eastAsia="Kaiti TC" w:hAnsi="Kaiti TC"/>
          <w:color w:val="000000" w:themeColor="text1"/>
        </w:rPr>
        <w:t>，以確保一致性和支持</w:t>
      </w:r>
      <w:r w:rsidRPr="00D2216C">
        <w:rPr>
          <w:rFonts w:ascii="Kaiti TC" w:eastAsia="Kaiti TC" w:hAnsi="Kaiti TC" w:cs="Arial"/>
          <w:color w:val="000000" w:themeColor="text1"/>
        </w:rPr>
        <w:t>。</w:t>
      </w:r>
    </w:p>
    <w:p w14:paraId="5BC55BA4" w14:textId="7EF171CE" w:rsidR="007E2DC4" w:rsidRPr="00D2216C" w:rsidRDefault="00132142" w:rsidP="00A441ED">
      <w:pPr>
        <w:pStyle w:val="a7"/>
        <w:numPr>
          <w:ilvl w:val="0"/>
          <w:numId w:val="3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有明確的服務策略影響</w:t>
      </w:r>
      <w:r w:rsidRPr="00D2216C">
        <w:rPr>
          <w:rFonts w:ascii="Kaiti TC" w:eastAsia="Kaiti TC" w:hAnsi="Kaiti TC" w:cs="Arial" w:hint="eastAsia"/>
          <w:color w:val="000000" w:themeColor="text1"/>
        </w:rPr>
        <w:t>和</w:t>
      </w:r>
      <w:r w:rsidRPr="00D2216C">
        <w:rPr>
          <w:rFonts w:ascii="Kaiti TC" w:eastAsia="Kaiti TC" w:hAnsi="Kaiti TC"/>
          <w:color w:val="000000" w:themeColor="text1"/>
        </w:rPr>
        <w:t>「</w:t>
      </w:r>
      <w:r w:rsidRPr="00D2216C">
        <w:rPr>
          <w:rFonts w:ascii="Kaiti TC" w:eastAsia="Kaiti TC" w:hAnsi="Kaiti TC" w:cs="Arial" w:hint="eastAsia"/>
          <w:color w:val="000000" w:themeColor="text1"/>
        </w:rPr>
        <w:t>去</w:t>
      </w:r>
      <w:r w:rsidRPr="00D2216C">
        <w:rPr>
          <w:rFonts w:ascii="Kaiti TC" w:eastAsia="Kaiti TC" w:hAnsi="Kaiti TC" w:cs="Arial"/>
          <w:color w:val="000000" w:themeColor="text1"/>
        </w:rPr>
        <w:t>風險」</w:t>
      </w:r>
      <w:r w:rsidR="00071272" w:rsidRPr="00D2216C">
        <w:rPr>
          <w:rFonts w:ascii="Kaiti TC" w:eastAsia="Kaiti TC" w:hAnsi="Kaiti TC" w:cs="Arial" w:hint="eastAsia"/>
          <w:color w:val="000000" w:themeColor="text1"/>
        </w:rPr>
        <w:t>療效</w:t>
      </w:r>
      <w:r w:rsidRPr="00D2216C">
        <w:rPr>
          <w:rFonts w:ascii="Kaiti TC" w:eastAsia="Kaiti TC" w:hAnsi="Kaiti TC" w:cs="Arial"/>
          <w:color w:val="000000" w:themeColor="text1"/>
        </w:rPr>
        <w:t>結果</w:t>
      </w:r>
      <w:r w:rsidR="00071272" w:rsidRPr="00D2216C">
        <w:rPr>
          <w:rFonts w:ascii="Kaiti TC" w:eastAsia="Kaiti TC" w:hAnsi="Kaiti TC" w:cs="Arial"/>
          <w:color w:val="000000" w:themeColor="text1"/>
        </w:rPr>
        <w:t>，</w:t>
      </w:r>
      <w:r w:rsidR="00071272" w:rsidRPr="00D2216C">
        <w:rPr>
          <w:rFonts w:ascii="Kaiti TC" w:eastAsia="Kaiti TC" w:hAnsi="Kaiti TC"/>
          <w:color w:val="000000" w:themeColor="text1"/>
        </w:rPr>
        <w:t>儘可能利用現有的解決方案</w:t>
      </w:r>
      <w:r w:rsidR="00071272" w:rsidRPr="00D2216C">
        <w:rPr>
          <w:rFonts w:ascii="Kaiti TC" w:eastAsia="Kaiti TC" w:hAnsi="Kaiti TC" w:cs="Arial"/>
          <w:color w:val="000000" w:themeColor="text1"/>
        </w:rPr>
        <w:t>。</w:t>
      </w:r>
    </w:p>
    <w:p w14:paraId="293C1FE2" w14:textId="05B7FFCD" w:rsidR="00117F57" w:rsidRPr="00D2216C" w:rsidRDefault="00B96560" w:rsidP="00A441ED">
      <w:pPr>
        <w:pStyle w:val="a7"/>
        <w:numPr>
          <w:ilvl w:val="0"/>
          <w:numId w:val="2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t>障礙：</w:t>
      </w:r>
      <w:r w:rsidR="00117F57" w:rsidRPr="00D2216C">
        <w:rPr>
          <w:rFonts w:ascii="Kaiti TC" w:eastAsia="Kaiti TC" w:hAnsi="Kaiti TC"/>
          <w:b/>
          <w:color w:val="000000" w:themeColor="text1"/>
        </w:rPr>
        <w:t>「</w:t>
      </w:r>
      <w:r w:rsidRPr="00D2216C">
        <w:rPr>
          <w:rFonts w:ascii="Kaiti TC" w:eastAsia="Kaiti TC" w:hAnsi="Kaiti TC" w:cs="Arial"/>
          <w:b/>
          <w:color w:val="000000" w:themeColor="text1"/>
        </w:rPr>
        <w:t>我們無法</w:t>
      </w:r>
      <w:r w:rsidRPr="00D2216C">
        <w:rPr>
          <w:rFonts w:ascii="Kaiti TC" w:eastAsia="Kaiti TC" w:hAnsi="Kaiti TC"/>
          <w:b/>
          <w:color w:val="000000" w:themeColor="text1"/>
        </w:rPr>
        <w:t>採集數據</w:t>
      </w:r>
      <w:r w:rsidRPr="00D2216C">
        <w:rPr>
          <w:rFonts w:ascii="Kaiti TC" w:eastAsia="Kaiti TC" w:hAnsi="Kaiti TC" w:cs="Arial"/>
          <w:b/>
          <w:color w:val="000000" w:themeColor="text1"/>
        </w:rPr>
        <w:t>以</w:t>
      </w:r>
      <w:r w:rsidR="00A4265E" w:rsidRPr="00D2216C">
        <w:rPr>
          <w:rFonts w:ascii="Kaiti TC" w:eastAsia="Kaiti TC" w:hAnsi="Kaiti TC" w:cs="Arial" w:hint="eastAsia"/>
          <w:b/>
          <w:color w:val="000000" w:themeColor="text1"/>
        </w:rPr>
        <w:t>便</w:t>
      </w:r>
      <w:r w:rsidRPr="00D2216C">
        <w:rPr>
          <w:rFonts w:ascii="Kaiti TC" w:eastAsia="Kaiti TC" w:hAnsi="Kaiti TC"/>
          <w:b/>
          <w:color w:val="000000" w:themeColor="text1"/>
        </w:rPr>
        <w:t>有力地</w:t>
      </w:r>
      <w:r w:rsidRPr="00D2216C">
        <w:rPr>
          <w:rFonts w:ascii="Kaiti TC" w:eastAsia="Kaiti TC" w:hAnsi="Kaiti TC" w:cs="Arial"/>
          <w:b/>
          <w:color w:val="000000" w:themeColor="text1"/>
        </w:rPr>
        <w:t>衡量</w:t>
      </w:r>
      <w:r w:rsidRPr="00D2216C">
        <w:rPr>
          <w:rFonts w:ascii="Kaiti TC" w:eastAsia="Kaiti TC" w:hAnsi="Kaiti TC" w:cs="Arial" w:hint="eastAsia"/>
          <w:b/>
          <w:color w:val="000000" w:themeColor="text1"/>
        </w:rPr>
        <w:t>療效</w:t>
      </w:r>
      <w:r w:rsidRPr="00D2216C">
        <w:rPr>
          <w:rFonts w:ascii="Kaiti TC" w:eastAsia="Kaiti TC" w:hAnsi="Kaiti TC" w:cs="Arial"/>
          <w:b/>
          <w:color w:val="000000" w:themeColor="text1"/>
        </w:rPr>
        <w:t>結果</w:t>
      </w:r>
      <w:r w:rsidR="00117F57" w:rsidRPr="00D2216C">
        <w:rPr>
          <w:rFonts w:ascii="Kaiti TC" w:eastAsia="Kaiti TC" w:hAnsi="Kaiti TC" w:cs="Arial"/>
          <w:b/>
          <w:color w:val="000000" w:themeColor="text1"/>
        </w:rPr>
        <w:t>。」</w:t>
      </w:r>
    </w:p>
    <w:p w14:paraId="06C79805" w14:textId="77777777" w:rsidR="00DC2959" w:rsidRPr="00D2216C" w:rsidRDefault="00117F57" w:rsidP="007A2F86">
      <w:pPr>
        <w:spacing w:line="0" w:lineRule="atLeast"/>
        <w:ind w:firstLineChars="200" w:firstLine="480"/>
        <w:jc w:val="both"/>
        <w:rPr>
          <w:rFonts w:ascii="Kaiti TC" w:eastAsia="Kaiti TC" w:hAnsi="Kaiti TC" w:cs="Arial"/>
          <w:b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t>方法：</w:t>
      </w:r>
    </w:p>
    <w:p w14:paraId="068B1159" w14:textId="76B9BD6D" w:rsidR="00117F57" w:rsidRPr="00D2216C" w:rsidRDefault="00E059BB" w:rsidP="00A441ED">
      <w:pPr>
        <w:pStyle w:val="a7"/>
        <w:numPr>
          <w:ilvl w:val="0"/>
          <w:numId w:val="4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利用</w:t>
      </w:r>
      <w:r w:rsidRPr="00D2216C">
        <w:rPr>
          <w:rFonts w:ascii="Kaiti TC" w:eastAsia="Kaiti TC" w:hAnsi="Kaiti TC"/>
          <w:color w:val="000000" w:themeColor="text1"/>
        </w:rPr>
        <w:t>數據平台，</w:t>
      </w:r>
      <w:r w:rsidR="00AC4C4A" w:rsidRPr="00D2216C">
        <w:rPr>
          <w:rFonts w:ascii="Kaiti TC" w:eastAsia="Kaiti TC" w:hAnsi="Kaiti TC" w:cs="Arial"/>
          <w:color w:val="000000" w:themeColor="text1"/>
        </w:rPr>
        <w:t>開發新技術</w:t>
      </w:r>
      <w:r w:rsidR="00AC4C4A" w:rsidRPr="00D2216C">
        <w:rPr>
          <w:rFonts w:ascii="Kaiti TC" w:eastAsia="Kaiti TC" w:hAnsi="Kaiti TC" w:cs="Arial" w:hint="eastAsia"/>
          <w:color w:val="000000" w:themeColor="text1"/>
        </w:rPr>
        <w:t>和</w:t>
      </w:r>
      <w:r w:rsidR="00AC4C4A" w:rsidRPr="00D2216C">
        <w:rPr>
          <w:rFonts w:ascii="Kaiti TC" w:eastAsia="Kaiti TC" w:hAnsi="Kaiti TC"/>
          <w:color w:val="000000" w:themeColor="text1"/>
        </w:rPr>
        <w:t>數</w:t>
      </w:r>
      <w:r w:rsidR="00AC4C4A" w:rsidRPr="00D2216C">
        <w:rPr>
          <w:rFonts w:ascii="Kaiti TC" w:eastAsia="Kaiti TC" w:hAnsi="Kaiti TC" w:hint="eastAsia"/>
          <w:color w:val="000000" w:themeColor="text1"/>
        </w:rPr>
        <w:t>位</w:t>
      </w:r>
      <w:r w:rsidR="00AC4C4A" w:rsidRPr="00D2216C">
        <w:rPr>
          <w:rFonts w:ascii="Kaiti TC" w:eastAsia="Kaiti TC" w:hAnsi="Kaiti TC"/>
          <w:color w:val="000000" w:themeColor="text1"/>
        </w:rPr>
        <w:t>化</w:t>
      </w:r>
      <w:r w:rsidR="00AC4C4A" w:rsidRPr="00D2216C">
        <w:rPr>
          <w:rFonts w:ascii="Kaiti TC" w:eastAsia="Kaiti TC" w:hAnsi="Kaiti TC" w:hint="eastAsia"/>
          <w:color w:val="000000" w:themeColor="text1"/>
        </w:rPr>
        <w:t>健康</w:t>
      </w:r>
      <w:r w:rsidR="00AC4C4A" w:rsidRPr="00D2216C">
        <w:rPr>
          <w:rFonts w:ascii="Kaiti TC" w:eastAsia="Kaiti TC" w:hAnsi="Kaiti TC"/>
          <w:color w:val="000000" w:themeColor="text1"/>
        </w:rPr>
        <w:t>數據，</w:t>
      </w:r>
      <w:r w:rsidR="00AC4C4A" w:rsidRPr="00D2216C">
        <w:rPr>
          <w:rFonts w:ascii="Kaiti TC" w:eastAsia="Kaiti TC" w:hAnsi="Kaiti TC" w:cs="Arial"/>
          <w:color w:val="000000" w:themeColor="text1"/>
        </w:rPr>
        <w:t>使</w:t>
      </w:r>
      <w:r w:rsidR="00AC4C4A" w:rsidRPr="00D2216C">
        <w:rPr>
          <w:rFonts w:ascii="Kaiti TC" w:eastAsia="Kaiti TC" w:hAnsi="Kaiti TC" w:cs="Arial" w:hint="eastAsia"/>
          <w:color w:val="000000" w:themeColor="text1"/>
        </w:rPr>
        <w:t>採集數據</w:t>
      </w:r>
      <w:r w:rsidR="00AC4C4A" w:rsidRPr="00D2216C">
        <w:rPr>
          <w:rFonts w:ascii="Kaiti TC" w:eastAsia="Kaiti TC" w:hAnsi="Kaiti TC" w:cs="Arial"/>
          <w:color w:val="000000" w:themeColor="text1"/>
        </w:rPr>
        <w:t>更容易、更安全。</w:t>
      </w:r>
    </w:p>
    <w:p w14:paraId="4EA4F6C8" w14:textId="559DDA27" w:rsidR="00DC2959" w:rsidRPr="00D2216C" w:rsidRDefault="00DC2959" w:rsidP="00A441ED">
      <w:pPr>
        <w:pStyle w:val="a7"/>
        <w:numPr>
          <w:ilvl w:val="0"/>
          <w:numId w:val="4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監管機</w:t>
      </w:r>
      <w:r w:rsidRPr="00D2216C">
        <w:rPr>
          <w:rFonts w:ascii="Kaiti TC" w:eastAsia="Kaiti TC" w:hAnsi="Kaiti TC" w:cs="Arial" w:hint="eastAsia"/>
          <w:color w:val="000000" w:themeColor="text1"/>
        </w:rPr>
        <w:t>關</w:t>
      </w:r>
      <w:r w:rsidRPr="00D2216C">
        <w:rPr>
          <w:rFonts w:ascii="Kaiti TC" w:eastAsia="Kaiti TC" w:hAnsi="Kaiti TC" w:cs="Arial"/>
          <w:color w:val="000000" w:themeColor="text1"/>
        </w:rPr>
        <w:t>和</w:t>
      </w:r>
      <w:r w:rsidRPr="00D2216C">
        <w:rPr>
          <w:rFonts w:ascii="Kaiti TC" w:eastAsia="Kaiti TC" w:hAnsi="Kaiti TC" w:cs="Arial" w:hint="eastAsia"/>
          <w:color w:val="000000" w:themeColor="text1"/>
        </w:rPr>
        <w:t>醫療服務提供者</w:t>
      </w:r>
      <w:r w:rsidR="001969D6">
        <w:rPr>
          <w:rFonts w:ascii="Kaiti TC" w:eastAsia="Kaiti TC" w:hAnsi="Kaiti TC" w:cs="Arial" w:hint="eastAsia"/>
          <w:color w:val="000000" w:themeColor="text1"/>
        </w:rPr>
        <w:t>更加</w:t>
      </w:r>
      <w:r w:rsidR="00744E0C" w:rsidRPr="00D2216C">
        <w:rPr>
          <w:rFonts w:ascii="Kaiti TC" w:eastAsia="Kaiti TC" w:hAnsi="Kaiti TC" w:cs="Arial" w:hint="eastAsia"/>
          <w:color w:val="000000" w:themeColor="text1"/>
        </w:rPr>
        <w:t>推</w:t>
      </w:r>
      <w:r w:rsidR="00760876" w:rsidRPr="00D2216C">
        <w:rPr>
          <w:rFonts w:ascii="Kaiti TC" w:eastAsia="Kaiti TC" w:hAnsi="Kaiti TC" w:cs="Arial"/>
          <w:color w:val="000000" w:themeColor="text1"/>
        </w:rPr>
        <w:t>動政策改</w:t>
      </w:r>
      <w:r w:rsidR="00760876" w:rsidRPr="00D2216C">
        <w:rPr>
          <w:rFonts w:ascii="Kaiti TC" w:eastAsia="Kaiti TC" w:hAnsi="Kaiti TC" w:cs="Arial" w:hint="eastAsia"/>
          <w:color w:val="000000" w:themeColor="text1"/>
        </w:rPr>
        <w:t>變</w:t>
      </w:r>
      <w:r w:rsidR="00760876" w:rsidRPr="00D2216C">
        <w:rPr>
          <w:rFonts w:ascii="Kaiti TC" w:eastAsia="Kaiti TC" w:hAnsi="Kaiti TC"/>
          <w:color w:val="000000" w:themeColor="text1"/>
        </w:rPr>
        <w:t>，讓</w:t>
      </w:r>
      <w:r w:rsidR="00760876" w:rsidRPr="00D2216C">
        <w:rPr>
          <w:rFonts w:ascii="Kaiti TC" w:eastAsia="Kaiti TC" w:hAnsi="Kaiti TC" w:hint="eastAsia"/>
          <w:color w:val="000000" w:themeColor="text1"/>
        </w:rPr>
        <w:t>主要</w:t>
      </w:r>
      <w:r w:rsidR="00760876" w:rsidRPr="00D2216C">
        <w:rPr>
          <w:rFonts w:ascii="Kaiti TC" w:eastAsia="Kaiti TC" w:hAnsi="Kaiti TC"/>
          <w:color w:val="000000" w:themeColor="text1"/>
        </w:rPr>
        <w:t>利</w:t>
      </w:r>
      <w:r w:rsidR="00760876" w:rsidRPr="00D2216C">
        <w:rPr>
          <w:rFonts w:ascii="Kaiti TC" w:eastAsia="Kaiti TC" w:hAnsi="Kaiti TC" w:hint="eastAsia"/>
          <w:color w:val="000000" w:themeColor="text1"/>
        </w:rPr>
        <w:t>害</w:t>
      </w:r>
      <w:r w:rsidR="00760876" w:rsidRPr="00D2216C">
        <w:rPr>
          <w:rFonts w:ascii="Kaiti TC" w:eastAsia="Kaiti TC" w:hAnsi="Kaiti TC"/>
          <w:color w:val="000000" w:themeColor="text1"/>
        </w:rPr>
        <w:t>關</w:t>
      </w:r>
      <w:r w:rsidR="00332E39">
        <w:rPr>
          <w:rFonts w:ascii="Kaiti TC" w:eastAsia="Kaiti TC" w:hAnsi="Kaiti TC" w:hint="eastAsia"/>
          <w:color w:val="000000" w:themeColor="text1"/>
        </w:rPr>
        <w:t>係人</w:t>
      </w:r>
      <w:r w:rsidR="00744E0C" w:rsidRPr="00D2216C">
        <w:rPr>
          <w:rFonts w:ascii="Kaiti TC" w:eastAsia="Kaiti TC" w:hAnsi="Kaiti TC"/>
          <w:color w:val="000000" w:themeColor="text1"/>
        </w:rPr>
        <w:t>能夠獲</w:t>
      </w:r>
      <w:r w:rsidR="00744E0C" w:rsidRPr="00D2216C">
        <w:rPr>
          <w:rFonts w:ascii="Kaiti TC" w:eastAsia="Kaiti TC" w:hAnsi="Kaiti TC" w:hint="eastAsia"/>
          <w:color w:val="000000" w:themeColor="text1"/>
        </w:rPr>
        <w:t>得</w:t>
      </w:r>
      <w:r w:rsidR="00760876" w:rsidRPr="00D2216C">
        <w:rPr>
          <w:rFonts w:ascii="Kaiti TC" w:eastAsia="Kaiti TC" w:hAnsi="Kaiti TC" w:hint="eastAsia"/>
          <w:color w:val="000000" w:themeColor="text1"/>
        </w:rPr>
        <w:t>數據</w:t>
      </w:r>
      <w:r w:rsidR="00760876" w:rsidRPr="00D2216C">
        <w:rPr>
          <w:rFonts w:ascii="Kaiti TC" w:eastAsia="Kaiti TC" w:hAnsi="Kaiti TC"/>
          <w:color w:val="000000" w:themeColor="text1"/>
        </w:rPr>
        <w:t>，</w:t>
      </w:r>
      <w:r w:rsidR="00760876" w:rsidRPr="00D2216C">
        <w:rPr>
          <w:rFonts w:ascii="Kaiti TC" w:eastAsia="Kaiti TC" w:hAnsi="Kaiti TC" w:hint="eastAsia"/>
          <w:color w:val="000000" w:themeColor="text1"/>
        </w:rPr>
        <w:t>以</w:t>
      </w:r>
      <w:r w:rsidR="00760876" w:rsidRPr="00D2216C">
        <w:rPr>
          <w:rFonts w:ascii="Kaiti TC" w:eastAsia="Kaiti TC" w:hAnsi="Kaiti TC"/>
          <w:color w:val="000000" w:themeColor="text1"/>
        </w:rPr>
        <w:t>造福所有人</w:t>
      </w:r>
      <w:r w:rsidR="00760876" w:rsidRPr="00D2216C">
        <w:rPr>
          <w:rFonts w:ascii="Kaiti TC" w:eastAsia="Kaiti TC" w:hAnsi="Kaiti TC" w:cs="Arial"/>
          <w:color w:val="000000" w:themeColor="text1"/>
        </w:rPr>
        <w:t>。</w:t>
      </w:r>
    </w:p>
    <w:p w14:paraId="051A7851" w14:textId="18DF9291" w:rsidR="006817AB" w:rsidRPr="00D2216C" w:rsidRDefault="006817AB" w:rsidP="00A441ED">
      <w:pPr>
        <w:pStyle w:val="a7"/>
        <w:numPr>
          <w:ilvl w:val="0"/>
          <w:numId w:val="5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lastRenderedPageBreak/>
        <w:t>障礙：</w:t>
      </w:r>
      <w:r w:rsidRPr="00D2216C">
        <w:rPr>
          <w:rFonts w:ascii="Kaiti TC" w:eastAsia="Kaiti TC" w:hAnsi="Kaiti TC"/>
          <w:b/>
          <w:color w:val="000000" w:themeColor="text1"/>
        </w:rPr>
        <w:t>「</w:t>
      </w:r>
      <w:r w:rsidR="00CE07C5" w:rsidRPr="00D2216C">
        <w:rPr>
          <w:rFonts w:ascii="Kaiti TC" w:eastAsia="Kaiti TC" w:hAnsi="Kaiti TC" w:hint="eastAsia"/>
          <w:b/>
          <w:color w:val="000000" w:themeColor="text1"/>
        </w:rPr>
        <w:t>對</w:t>
      </w:r>
      <w:r w:rsidRPr="00D2216C">
        <w:rPr>
          <w:rFonts w:ascii="Kaiti TC" w:eastAsia="Kaiti TC" w:hAnsi="Kaiti TC" w:cs="Arial"/>
          <w:b/>
          <w:color w:val="000000" w:themeColor="text1"/>
        </w:rPr>
        <w:t>我們</w:t>
      </w:r>
      <w:r w:rsidR="00CE07C5" w:rsidRPr="00D2216C">
        <w:rPr>
          <w:rFonts w:ascii="Kaiti TC" w:eastAsia="Kaiti TC" w:hAnsi="Kaiti TC" w:cs="Arial" w:hint="eastAsia"/>
          <w:b/>
          <w:color w:val="000000" w:themeColor="text1"/>
        </w:rPr>
        <w:t>來說風險太大了</w:t>
      </w:r>
      <w:r w:rsidRPr="00D2216C">
        <w:rPr>
          <w:rFonts w:ascii="Kaiti TC" w:eastAsia="Kaiti TC" w:hAnsi="Kaiti TC" w:cs="Arial"/>
          <w:b/>
          <w:color w:val="000000" w:themeColor="text1"/>
        </w:rPr>
        <w:t>。」</w:t>
      </w:r>
    </w:p>
    <w:p w14:paraId="63867724" w14:textId="77777777" w:rsidR="006817AB" w:rsidRPr="00D2216C" w:rsidRDefault="006817AB" w:rsidP="001E22F6">
      <w:pPr>
        <w:spacing w:line="0" w:lineRule="atLeast"/>
        <w:ind w:firstLineChars="200" w:firstLine="480"/>
        <w:jc w:val="both"/>
        <w:rPr>
          <w:rFonts w:ascii="Kaiti TC" w:eastAsia="Kaiti TC" w:hAnsi="Kaiti TC" w:cs="Arial"/>
          <w:b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t>方法：</w:t>
      </w:r>
    </w:p>
    <w:p w14:paraId="1B315569" w14:textId="1ADCD81B" w:rsidR="002B1002" w:rsidRPr="00D2216C" w:rsidRDefault="000A1925" w:rsidP="00A441ED">
      <w:pPr>
        <w:pStyle w:val="a7"/>
        <w:numPr>
          <w:ilvl w:val="0"/>
          <w:numId w:val="6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考慮</w:t>
      </w:r>
      <w:r w:rsidRPr="00D2216C">
        <w:rPr>
          <w:rFonts w:ascii="Kaiti TC" w:eastAsia="Kaiti TC" w:hAnsi="Kaiti TC" w:cs="Arial" w:hint="eastAsia"/>
          <w:color w:val="000000" w:themeColor="text1"/>
        </w:rPr>
        <w:t>採取</w:t>
      </w:r>
      <w:r w:rsidR="002A3EAE" w:rsidRPr="00D2216C">
        <w:rPr>
          <w:rFonts w:ascii="Kaiti TC" w:eastAsia="Kaiti TC" w:hAnsi="Kaiti TC" w:cs="Arial"/>
          <w:color w:val="000000" w:themeColor="text1"/>
        </w:rPr>
        <w:t>保障措施 (</w:t>
      </w:r>
      <w:r w:rsidR="00216A2B" w:rsidRPr="00D2216C">
        <w:rPr>
          <w:rFonts w:ascii="Kaiti TC" w:eastAsia="Kaiti TC" w:hAnsi="Kaiti TC" w:cs="Arial"/>
          <w:color w:val="000000" w:themeColor="text1"/>
        </w:rPr>
        <w:t>如支出上限或</w:t>
      </w:r>
      <w:r w:rsidR="0048788D" w:rsidRPr="00D2216C">
        <w:rPr>
          <w:rFonts w:ascii="Kaiti TC" w:eastAsia="Kaiti TC" w:hAnsi="Kaiti TC" w:cs="Arial" w:hint="eastAsia"/>
          <w:color w:val="000000" w:themeColor="text1"/>
        </w:rPr>
        <w:t>回扣</w:t>
      </w:r>
      <w:r w:rsidR="002A3EAE" w:rsidRPr="00D2216C">
        <w:rPr>
          <w:rFonts w:ascii="Kaiti TC" w:eastAsia="Kaiti TC" w:hAnsi="Kaiti TC" w:cs="Arial"/>
          <w:color w:val="000000" w:themeColor="text1"/>
        </w:rPr>
        <w:t>)</w:t>
      </w:r>
      <w:r w:rsidR="009A5857" w:rsidRPr="00D2216C">
        <w:rPr>
          <w:rFonts w:ascii="Kaiti TC" w:eastAsia="Kaiti TC" w:hAnsi="Kaiti TC"/>
          <w:color w:val="000000" w:themeColor="text1"/>
        </w:rPr>
        <w:t xml:space="preserve"> 以幫助預算的確定性，</w:t>
      </w:r>
      <w:r w:rsidR="009A5857" w:rsidRPr="00D2216C">
        <w:rPr>
          <w:rFonts w:ascii="Kaiti TC" w:eastAsia="Kaiti TC" w:hAnsi="Kaiti TC" w:cs="Arial"/>
          <w:color w:val="000000" w:themeColor="text1"/>
        </w:rPr>
        <w:t>盡量減少支付者的風險，</w:t>
      </w:r>
      <w:r w:rsidR="002B1002" w:rsidRPr="00D2216C">
        <w:rPr>
          <w:rFonts w:ascii="Kaiti TC" w:eastAsia="Kaiti TC" w:hAnsi="Kaiti TC" w:cs="Arial"/>
          <w:color w:val="000000" w:themeColor="text1"/>
        </w:rPr>
        <w:t>並幫助確保雙方的正確行為得到</w:t>
      </w:r>
      <w:r w:rsidR="002B1002" w:rsidRPr="00D2216C">
        <w:rPr>
          <w:rFonts w:ascii="Kaiti TC" w:eastAsia="Kaiti TC" w:hAnsi="Kaiti TC" w:cs="Arial" w:hint="eastAsia"/>
          <w:color w:val="000000" w:themeColor="text1"/>
        </w:rPr>
        <w:t>鼓勵</w:t>
      </w:r>
      <w:r w:rsidR="002B1002" w:rsidRPr="00D2216C">
        <w:rPr>
          <w:rFonts w:ascii="Kaiti TC" w:eastAsia="Kaiti TC" w:hAnsi="Kaiti TC" w:cs="Arial"/>
          <w:color w:val="000000" w:themeColor="text1"/>
        </w:rPr>
        <w:t>。</w:t>
      </w:r>
    </w:p>
    <w:p w14:paraId="0BDA12B8" w14:textId="7EEFACFD" w:rsidR="00CE30FF" w:rsidRPr="00D2216C" w:rsidRDefault="004B5ABA" w:rsidP="00A441ED">
      <w:pPr>
        <w:pStyle w:val="a7"/>
        <w:numPr>
          <w:ilvl w:val="0"/>
          <w:numId w:val="6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選擇</w:t>
      </w:r>
      <w:r w:rsidRPr="00D2216C">
        <w:rPr>
          <w:rFonts w:ascii="Kaiti TC" w:eastAsia="Kaiti TC" w:hAnsi="Kaiti TC"/>
          <w:color w:val="000000" w:themeColor="text1"/>
        </w:rPr>
        <w:t>演變</w:t>
      </w:r>
      <w:r w:rsidRPr="00D2216C">
        <w:rPr>
          <w:rFonts w:ascii="Kaiti TC" w:eastAsia="Kaiti TC" w:hAnsi="Kaiti TC" w:cs="Arial"/>
          <w:color w:val="000000" w:themeColor="text1"/>
        </w:rPr>
        <w:t>而不是革命，</w:t>
      </w:r>
      <w:r w:rsidRPr="00D2216C">
        <w:rPr>
          <w:rFonts w:ascii="Kaiti TC" w:eastAsia="Kaiti TC" w:hAnsi="Kaiti TC"/>
          <w:color w:val="000000" w:themeColor="text1"/>
        </w:rPr>
        <w:t>和</w:t>
      </w:r>
      <w:r w:rsidR="000C39EB">
        <w:rPr>
          <w:rFonts w:ascii="Kaiti TC" w:eastAsia="Kaiti TC" w:hAnsi="Kaiti TC" w:cs="Arial"/>
          <w:color w:val="000000" w:themeColor="text1"/>
        </w:rPr>
        <w:t>更務實</w:t>
      </w:r>
      <w:r w:rsidR="000C39EB">
        <w:rPr>
          <w:rFonts w:ascii="Kaiti TC" w:eastAsia="Kaiti TC" w:hAnsi="Kaiti TC" w:cs="Arial" w:hint="eastAsia"/>
          <w:color w:val="000000" w:themeColor="text1"/>
        </w:rPr>
        <w:t>與</w:t>
      </w:r>
      <w:r w:rsidRPr="00D2216C">
        <w:rPr>
          <w:rFonts w:ascii="Kaiti TC" w:eastAsia="Kaiti TC" w:hAnsi="Kaiti TC"/>
          <w:color w:val="000000" w:themeColor="text1"/>
        </w:rPr>
        <w:t>循序</w:t>
      </w:r>
      <w:r w:rsidRPr="00D2216C">
        <w:rPr>
          <w:rFonts w:ascii="Kaiti TC" w:eastAsia="Kaiti TC" w:hAnsi="Kaiti TC" w:cs="Arial"/>
          <w:color w:val="000000" w:themeColor="text1"/>
        </w:rPr>
        <w:t>漸進的方</w:t>
      </w:r>
      <w:r w:rsidRPr="00D2216C">
        <w:rPr>
          <w:rFonts w:ascii="Kaiti TC" w:eastAsia="Kaiti TC" w:hAnsi="Kaiti TC"/>
          <w:color w:val="000000" w:themeColor="text1"/>
        </w:rPr>
        <w:t>式</w:t>
      </w:r>
      <w:r w:rsidR="000C39EB">
        <w:rPr>
          <w:rFonts w:ascii="Kaiti TC" w:eastAsia="Kaiti TC" w:hAnsi="Kaiti TC" w:cs="Arial"/>
          <w:color w:val="000000" w:themeColor="text1"/>
        </w:rPr>
        <w:t>，幫助雙方更</w:t>
      </w:r>
      <w:r w:rsidRPr="00D2216C">
        <w:rPr>
          <w:rFonts w:ascii="Kaiti TC" w:eastAsia="Kaiti TC" w:hAnsi="Kaiti TC" w:cs="Arial"/>
          <w:color w:val="000000" w:themeColor="text1"/>
        </w:rPr>
        <w:t>理解風險</w:t>
      </w:r>
      <w:r w:rsidR="002D16BC">
        <w:rPr>
          <w:rFonts w:ascii="Kaiti TC" w:eastAsia="Kaiti TC" w:hAnsi="Kaiti TC" w:cs="Arial" w:hint="eastAsia"/>
          <w:color w:val="000000" w:themeColor="text1"/>
        </w:rPr>
        <w:t>並覺得</w:t>
      </w:r>
      <w:r w:rsidR="0036797B">
        <w:rPr>
          <w:rFonts w:ascii="Kaiti TC" w:eastAsia="Kaiti TC" w:hAnsi="Kaiti TC" w:cs="Arial" w:hint="eastAsia"/>
          <w:color w:val="000000" w:themeColor="text1"/>
        </w:rPr>
        <w:t>舒坦</w:t>
      </w:r>
      <w:r w:rsidR="00FE4F69" w:rsidRPr="00D2216C">
        <w:rPr>
          <w:rFonts w:ascii="Kaiti TC" w:eastAsia="Kaiti TC" w:hAnsi="Kaiti TC" w:cs="Arial"/>
          <w:color w:val="000000" w:themeColor="text1"/>
        </w:rPr>
        <w:t>。</w:t>
      </w:r>
    </w:p>
    <w:p w14:paraId="1EA7B88A" w14:textId="77777777" w:rsidR="001E22F6" w:rsidRPr="00D2216C" w:rsidRDefault="006B6B8A" w:rsidP="000C39EB">
      <w:pPr>
        <w:pStyle w:val="a7"/>
        <w:numPr>
          <w:ilvl w:val="0"/>
          <w:numId w:val="7"/>
        </w:numPr>
        <w:spacing w:before="180" w:line="0" w:lineRule="atLeast"/>
        <w:ind w:leftChars="0" w:left="482" w:hanging="482"/>
        <w:rPr>
          <w:rFonts w:ascii="Kaiti TC" w:eastAsia="Kaiti TC" w:hAnsi="Kaiti TC"/>
          <w:b/>
          <w:color w:val="000000" w:themeColor="text1"/>
          <w:sz w:val="32"/>
        </w:rPr>
      </w:pPr>
      <w:r w:rsidRPr="00D2216C">
        <w:rPr>
          <w:rFonts w:ascii="Kaiti TC" w:eastAsia="Kaiti TC" w:hAnsi="Kaiti TC"/>
          <w:b/>
          <w:color w:val="000000" w:themeColor="text1"/>
          <w:szCs w:val="21"/>
          <w:shd w:val="clear" w:color="auto" w:fill="FFFFFF"/>
        </w:rPr>
        <w:t>如何在管理風險時取得進展</w:t>
      </w:r>
    </w:p>
    <w:p w14:paraId="79EE9847" w14:textId="017D27A3" w:rsidR="00816AF8" w:rsidRPr="00D2216C" w:rsidRDefault="007F0939" w:rsidP="000C39EB">
      <w:pPr>
        <w:spacing w:before="120" w:line="0" w:lineRule="atLeast"/>
        <w:ind w:firstLineChars="200" w:firstLine="48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/>
          <w:color w:val="000000" w:themeColor="text1"/>
        </w:rPr>
        <w:t>成功提供OBC</w:t>
      </w:r>
      <w:r w:rsidR="00CD6D48" w:rsidRPr="00D2216C">
        <w:rPr>
          <w:rFonts w:ascii="Kaiti TC" w:eastAsia="Kaiti TC" w:hAnsi="Kaiti TC" w:cs="Arial"/>
          <w:color w:val="000000" w:themeColor="text1"/>
        </w:rPr>
        <w:t>需要一個</w:t>
      </w:r>
      <w:r w:rsidR="00CD6D48" w:rsidRPr="00D2216C">
        <w:rPr>
          <w:rFonts w:ascii="Kaiti TC" w:eastAsia="Kaiti TC" w:hAnsi="Kaiti TC"/>
          <w:color w:val="000000" w:themeColor="text1"/>
        </w:rPr>
        <w:t>強大和靈活的方法，</w:t>
      </w:r>
      <w:r w:rsidR="00CD6D48" w:rsidRPr="00D2216C">
        <w:rPr>
          <w:rFonts w:ascii="Kaiti TC" w:eastAsia="Kaiti TC" w:hAnsi="Kaiti TC" w:cs="Arial"/>
          <w:color w:val="000000" w:themeColor="text1"/>
        </w:rPr>
        <w:t>有六</w:t>
      </w:r>
      <w:r w:rsidR="00CD6D48" w:rsidRPr="00D2216C">
        <w:rPr>
          <w:rFonts w:ascii="Kaiti TC" w:eastAsia="Kaiti TC" w:hAnsi="Kaiti TC" w:cs="Arial" w:hint="eastAsia"/>
          <w:color w:val="000000" w:themeColor="text1"/>
        </w:rPr>
        <w:t>個</w:t>
      </w:r>
      <w:r w:rsidR="00CD6D48" w:rsidRPr="00D2216C">
        <w:rPr>
          <w:rFonts w:ascii="Kaiti TC" w:eastAsia="Kaiti TC" w:hAnsi="Kaiti TC" w:cs="Arial"/>
          <w:color w:val="000000" w:themeColor="text1"/>
        </w:rPr>
        <w:t>推薦步驟 (見圖) 由新功能支援。</w:t>
      </w:r>
      <w:r w:rsidR="000C39EB">
        <w:rPr>
          <w:rFonts w:ascii="Kaiti TC" w:eastAsia="Kaiti TC" w:hAnsi="Kaiti TC" w:cs="Arial"/>
          <w:color w:val="000000" w:themeColor="text1"/>
        </w:rPr>
        <w:t>如果做</w:t>
      </w:r>
      <w:r w:rsidR="006D708D" w:rsidRPr="00D2216C">
        <w:rPr>
          <w:rFonts w:ascii="Kaiti TC" w:eastAsia="Kaiti TC" w:hAnsi="Kaiti TC" w:cs="Arial"/>
          <w:color w:val="000000" w:themeColor="text1"/>
        </w:rPr>
        <w:t>正確，這應該能讓你以不需要不可接受的風險水平、巨額投資或“大賭注”的方式取得進展。</w:t>
      </w:r>
    </w:p>
    <w:p w14:paraId="5D3B3E1D" w14:textId="44CAC4F6" w:rsidR="0076136D" w:rsidRPr="00D2216C" w:rsidRDefault="0076136D" w:rsidP="00E34207">
      <w:pPr>
        <w:spacing w:before="120" w:line="0" w:lineRule="atLeast"/>
        <w:ind w:firstLineChars="200" w:firstLine="480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/>
          <w:color w:val="000000" w:themeColor="text1"/>
        </w:rPr>
        <w:fldChar w:fldCharType="begin"/>
      </w:r>
      <w:r w:rsidRPr="00D2216C">
        <w:rPr>
          <w:rFonts w:ascii="Kaiti TC" w:eastAsia="Kaiti TC" w:hAnsi="Kaiti TC"/>
          <w:color w:val="000000" w:themeColor="text1"/>
        </w:rPr>
        <w:instrText xml:space="preserve"> INCLUDEPICTURE "/var/folders/kd/d7b27fy51191vv0hfklyqlkw0000gn/T/com.microsoft.Word/WebArchiveCopyPasteTempFiles/ey-outcomes-based-contracting-methodology.jpg" \* MERGEFORMATINET </w:instrText>
      </w:r>
      <w:r w:rsidRPr="00D2216C">
        <w:rPr>
          <w:rFonts w:ascii="Kaiti TC" w:eastAsia="Kaiti TC" w:hAnsi="Kaiti TC"/>
          <w:color w:val="000000" w:themeColor="text1"/>
        </w:rPr>
        <w:fldChar w:fldCharType="separate"/>
      </w:r>
      <w:r w:rsidRPr="00D2216C">
        <w:rPr>
          <w:rFonts w:ascii="Kaiti TC" w:eastAsia="Kaiti TC" w:hAnsi="Kaiti TC"/>
          <w:noProof/>
          <w:color w:val="000000" w:themeColor="text1"/>
        </w:rPr>
        <w:drawing>
          <wp:inline distT="0" distB="0" distL="0" distR="0" wp14:anchorId="31F2F6D2" wp14:editId="3E82192A">
            <wp:extent cx="3635262" cy="2027976"/>
            <wp:effectExtent l="63500" t="63500" r="60960" b="67945"/>
            <wp:docPr id="8" name="圖片 8" descr="「health outcome exchange EY中文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「health outcome exchange EY中文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433" cy="205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Pr="00D2216C">
        <w:rPr>
          <w:rFonts w:ascii="Kaiti TC" w:eastAsia="Kaiti TC" w:hAnsi="Kaiti TC"/>
          <w:color w:val="000000" w:themeColor="text1"/>
        </w:rPr>
        <w:fldChar w:fldCharType="end"/>
      </w:r>
    </w:p>
    <w:p w14:paraId="3DD6656E" w14:textId="0FFD5CCE" w:rsidR="0076136D" w:rsidRPr="00D2216C" w:rsidRDefault="0076136D" w:rsidP="00B7422A">
      <w:pPr>
        <w:spacing w:before="12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這些關鍵步驟的基礎是</w:t>
      </w:r>
      <w:r w:rsidR="00F834CA" w:rsidRPr="00D2216C">
        <w:rPr>
          <w:rFonts w:ascii="Kaiti TC" w:eastAsia="Kaiti TC" w:hAnsi="Kaiti TC" w:cs="Arial" w:hint="eastAsia"/>
          <w:color w:val="000000" w:themeColor="text1"/>
        </w:rPr>
        <w:t>安永</w:t>
      </w:r>
      <w:r w:rsidR="00F834CA" w:rsidRPr="00D2216C">
        <w:rPr>
          <w:rFonts w:ascii="Kaiti TC" w:eastAsia="Kaiti TC" w:hAnsi="Kaiti TC" w:cs="Arial"/>
          <w:color w:val="000000" w:themeColor="text1"/>
        </w:rPr>
        <w:t xml:space="preserve"> (EY)</w:t>
      </w:r>
      <w:r w:rsidRPr="00D2216C">
        <w:rPr>
          <w:rFonts w:ascii="Kaiti TC" w:eastAsia="Kaiti TC" w:hAnsi="Kaiti TC" w:cs="Arial"/>
          <w:color w:val="000000" w:themeColor="text1"/>
        </w:rPr>
        <w:t>的健康結果交換 (</w:t>
      </w:r>
      <w:r w:rsidR="00750F8A" w:rsidRPr="00D2216C">
        <w:rPr>
          <w:rFonts w:ascii="Kaiti TC" w:eastAsia="Kaiti TC" w:hAnsi="Kaiti TC"/>
          <w:color w:val="000000" w:themeColor="text1"/>
        </w:rPr>
        <w:t>Health Outcome Exchange</w:t>
      </w:r>
      <w:r w:rsidR="00750F8A" w:rsidRPr="00D2216C">
        <w:rPr>
          <w:rFonts w:ascii="Kaiti TC" w:eastAsia="Kaiti TC" w:hAnsi="Kaiti TC" w:cs="Arial"/>
          <w:color w:val="000000" w:themeColor="text1"/>
        </w:rPr>
        <w:t>，</w:t>
      </w:r>
      <w:r w:rsidRPr="00D2216C">
        <w:rPr>
          <w:rFonts w:ascii="Kaiti TC" w:eastAsia="Kaiti TC" w:hAnsi="Kaiti TC" w:cs="Arial" w:hint="eastAsia"/>
          <w:color w:val="000000" w:themeColor="text1"/>
        </w:rPr>
        <w:t>H</w:t>
      </w:r>
      <w:r w:rsidRPr="00D2216C">
        <w:rPr>
          <w:rFonts w:ascii="Kaiti TC" w:eastAsia="Kaiti TC" w:hAnsi="Kaiti TC" w:cs="Arial"/>
          <w:color w:val="000000" w:themeColor="text1"/>
        </w:rPr>
        <w:t>OX)。</w:t>
      </w:r>
      <w:r w:rsidR="00C22D3D" w:rsidRPr="00D2216C">
        <w:rPr>
          <w:rFonts w:ascii="Kaiti TC" w:eastAsia="Kaiti TC" w:hAnsi="Kaiti TC" w:cs="Arial"/>
          <w:color w:val="000000" w:themeColor="text1"/>
        </w:rPr>
        <w:t>HOX的目的是簡化支援OBC所需的資料收集、管理和分析。</w:t>
      </w:r>
      <w:r w:rsidR="00243C9D" w:rsidRPr="00D2216C">
        <w:rPr>
          <w:rFonts w:ascii="Kaiti TC" w:eastAsia="Kaiti TC" w:hAnsi="Kaiti TC" w:cs="Arial"/>
          <w:color w:val="000000" w:themeColor="text1"/>
        </w:rPr>
        <w:t>它提供了一個透明、端到端、可縮</w:t>
      </w:r>
      <w:r w:rsidR="00243C9D" w:rsidRPr="00D2216C">
        <w:rPr>
          <w:rFonts w:ascii="Kaiti TC" w:eastAsia="Kaiti TC" w:hAnsi="Kaiti TC" w:cs="Arial" w:hint="eastAsia"/>
          <w:color w:val="000000" w:themeColor="text1"/>
        </w:rPr>
        <w:t>放</w:t>
      </w:r>
      <w:r w:rsidR="00243C9D" w:rsidRPr="00D2216C">
        <w:rPr>
          <w:rFonts w:ascii="Kaiti TC" w:eastAsia="Kaiti TC" w:hAnsi="Kaiti TC" w:cs="Arial"/>
          <w:color w:val="000000" w:themeColor="text1"/>
        </w:rPr>
        <w:t>和安全的業</w:t>
      </w:r>
      <w:r w:rsidR="00243C9D" w:rsidRPr="00D2216C">
        <w:rPr>
          <w:rFonts w:ascii="Kaiti TC" w:eastAsia="Kaiti TC" w:hAnsi="Kaiti TC" w:cs="Arial" w:hint="eastAsia"/>
          <w:color w:val="000000" w:themeColor="text1"/>
        </w:rPr>
        <w:t>界</w:t>
      </w:r>
      <w:r w:rsidR="00243C9D" w:rsidRPr="00D2216C">
        <w:rPr>
          <w:rFonts w:ascii="Kaiti TC" w:eastAsia="Kaiti TC" w:hAnsi="Kaiti TC" w:cs="Arial"/>
          <w:color w:val="000000" w:themeColor="text1"/>
        </w:rPr>
        <w:t>平</w:t>
      </w:r>
      <w:r w:rsidR="00243C9D" w:rsidRPr="00D2216C">
        <w:rPr>
          <w:rFonts w:ascii="Kaiti TC" w:eastAsia="Kaiti TC" w:hAnsi="Kaiti TC" w:cs="Arial" w:hint="eastAsia"/>
          <w:color w:val="000000" w:themeColor="text1"/>
        </w:rPr>
        <w:t>台</w:t>
      </w:r>
      <w:r w:rsidR="00243C9D" w:rsidRPr="00D2216C">
        <w:rPr>
          <w:rFonts w:ascii="Kaiti TC" w:eastAsia="Kaiti TC" w:hAnsi="Kaiti TC" w:cs="Arial"/>
          <w:color w:val="000000" w:themeColor="text1"/>
        </w:rPr>
        <w:t>，</w:t>
      </w:r>
      <w:r w:rsidR="00B7422A" w:rsidRPr="00D2216C">
        <w:rPr>
          <w:rFonts w:ascii="Kaiti TC" w:eastAsia="Kaiti TC" w:hAnsi="Kaiti TC" w:cs="Arial"/>
          <w:color w:val="000000" w:themeColor="text1"/>
        </w:rPr>
        <w:t>使各方能夠理解和分析</w:t>
      </w:r>
      <w:r w:rsidR="00B7422A" w:rsidRPr="00D2216C">
        <w:rPr>
          <w:rFonts w:ascii="Kaiti TC" w:eastAsia="Kaiti TC" w:hAnsi="Kaiti TC" w:cs="Arial" w:hint="eastAsia"/>
          <w:color w:val="000000" w:themeColor="text1"/>
        </w:rPr>
        <w:t>協議</w:t>
      </w:r>
      <w:r w:rsidR="00B7422A" w:rsidRPr="00D2216C">
        <w:rPr>
          <w:rFonts w:ascii="Kaiti TC" w:eastAsia="Kaiti TC" w:hAnsi="Kaiti TC" w:cs="Arial"/>
          <w:color w:val="000000" w:themeColor="text1"/>
        </w:rPr>
        <w:t>履行情況，</w:t>
      </w:r>
      <w:r w:rsidR="00B7422A" w:rsidRPr="00243C9D">
        <w:rPr>
          <w:rFonts w:ascii="Kaiti TC" w:eastAsia="Kaiti TC" w:hAnsi="Kaiti TC"/>
          <w:color w:val="000000" w:themeColor="text1"/>
        </w:rPr>
        <w:t>並確保每一方獲得物有所值</w:t>
      </w:r>
      <w:r w:rsidR="00B7422A" w:rsidRPr="00D2216C">
        <w:rPr>
          <w:rFonts w:ascii="Kaiti TC" w:eastAsia="Kaiti TC" w:hAnsi="Kaiti TC" w:cs="Arial"/>
          <w:color w:val="000000" w:themeColor="text1"/>
        </w:rPr>
        <w:t>。</w:t>
      </w:r>
    </w:p>
    <w:p w14:paraId="0CE96671" w14:textId="5FBBD503" w:rsidR="00C37FB3" w:rsidRPr="00D2216C" w:rsidRDefault="00C37FB3" w:rsidP="00BD6568">
      <w:pPr>
        <w:pStyle w:val="a7"/>
        <w:numPr>
          <w:ilvl w:val="0"/>
          <w:numId w:val="7"/>
        </w:numPr>
        <w:spacing w:before="180" w:line="0" w:lineRule="atLeast"/>
        <w:ind w:leftChars="0" w:left="482" w:hanging="482"/>
        <w:jc w:val="both"/>
        <w:rPr>
          <w:rFonts w:ascii="Kaiti TC" w:eastAsia="Kaiti TC" w:hAnsi="Kaiti TC" w:cs="Arial"/>
          <w:b/>
          <w:color w:val="000000" w:themeColor="text1"/>
        </w:rPr>
      </w:pPr>
      <w:r w:rsidRPr="00D2216C">
        <w:rPr>
          <w:rFonts w:ascii="Kaiti TC" w:eastAsia="Kaiti TC" w:hAnsi="Kaiti TC" w:cs="Arial" w:hint="eastAsia"/>
          <w:b/>
          <w:color w:val="000000" w:themeColor="text1"/>
        </w:rPr>
        <w:t>準備</w:t>
      </w:r>
      <w:r w:rsidRPr="00D2216C">
        <w:rPr>
          <w:rFonts w:ascii="Kaiti TC" w:eastAsia="Kaiti TC" w:hAnsi="Kaiti TC" w:cs="Arial"/>
          <w:b/>
          <w:color w:val="000000" w:themeColor="text1"/>
        </w:rPr>
        <w:t>開始</w:t>
      </w:r>
    </w:p>
    <w:p w14:paraId="18C9650B" w14:textId="31DBBB2B" w:rsidR="00C37FB3" w:rsidRPr="00D2216C" w:rsidRDefault="00C37FB3" w:rsidP="00C37FB3">
      <w:pPr>
        <w:spacing w:before="120" w:line="0" w:lineRule="atLeast"/>
        <w:ind w:firstLineChars="200" w:firstLine="48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雖然許多人一直在</w:t>
      </w:r>
      <w:r w:rsidRPr="00D2216C">
        <w:rPr>
          <w:rFonts w:ascii="Kaiti TC" w:eastAsia="Kaiti TC" w:hAnsi="Kaiti TC"/>
          <w:color w:val="000000" w:themeColor="text1"/>
        </w:rPr>
        <w:t>嘗試進行</w:t>
      </w:r>
      <w:r w:rsidRPr="00D2216C">
        <w:rPr>
          <w:rFonts w:ascii="Kaiti TC" w:eastAsia="Kaiti TC" w:hAnsi="Kaiti TC" w:cs="Arial"/>
          <w:color w:val="000000" w:themeColor="text1"/>
        </w:rPr>
        <w:t>OBC，但迄今為止</w:t>
      </w:r>
      <w:r w:rsidRPr="00D2216C">
        <w:rPr>
          <w:rFonts w:ascii="Kaiti TC" w:eastAsia="Kaiti TC" w:hAnsi="Kaiti TC"/>
          <w:color w:val="000000" w:themeColor="text1"/>
        </w:rPr>
        <w:t>很少</w:t>
      </w:r>
      <w:r w:rsidR="00864E6C" w:rsidRPr="00D2216C">
        <w:rPr>
          <w:rFonts w:ascii="Kaiti TC" w:eastAsia="Kaiti TC" w:hAnsi="Kaiti TC" w:cs="Arial"/>
          <w:color w:val="000000" w:themeColor="text1"/>
        </w:rPr>
        <w:t>能夠擴大和充分利用其全部潛力，</w:t>
      </w:r>
      <w:r w:rsidRPr="00D2216C">
        <w:rPr>
          <w:rFonts w:ascii="Kaiti TC" w:eastAsia="Kaiti TC" w:hAnsi="Kaiti TC" w:cs="Arial"/>
          <w:color w:val="000000" w:themeColor="text1"/>
        </w:rPr>
        <w:t>這是一個巨大的機會。</w:t>
      </w:r>
      <w:r w:rsidR="00BA1BA1" w:rsidRPr="00D2216C">
        <w:rPr>
          <w:rFonts w:ascii="Kaiti TC" w:eastAsia="Kaiti TC" w:hAnsi="Kaiti TC" w:cs="Arial" w:hint="eastAsia"/>
          <w:color w:val="000000" w:themeColor="text1"/>
        </w:rPr>
        <w:t>準備</w:t>
      </w:r>
      <w:r w:rsidRPr="00D2216C">
        <w:rPr>
          <w:rFonts w:ascii="Kaiti TC" w:eastAsia="Kaiti TC" w:hAnsi="Kaiti TC" w:cs="Arial"/>
          <w:color w:val="000000" w:themeColor="text1"/>
        </w:rPr>
        <w:t>開始</w:t>
      </w:r>
      <w:r w:rsidR="00864E6C" w:rsidRPr="00D2216C">
        <w:rPr>
          <w:rFonts w:ascii="Kaiti TC" w:eastAsia="Kaiti TC" w:hAnsi="Kaiti TC" w:cs="Arial"/>
          <w:color w:val="000000" w:themeColor="text1"/>
        </w:rPr>
        <w:t>，</w:t>
      </w:r>
      <w:r w:rsidRPr="00D2216C">
        <w:rPr>
          <w:rFonts w:ascii="Kaiti TC" w:eastAsia="Kaiti TC" w:hAnsi="Kaiti TC" w:cs="Arial"/>
          <w:color w:val="000000" w:themeColor="text1"/>
        </w:rPr>
        <w:t>有一些關鍵的 "</w:t>
      </w:r>
      <w:r w:rsidR="00864E6C" w:rsidRPr="00D2216C">
        <w:rPr>
          <w:rFonts w:ascii="Kaiti TC" w:eastAsia="Kaiti TC" w:hAnsi="Kaiti TC" w:cs="Arial" w:hint="eastAsia"/>
          <w:color w:val="000000" w:themeColor="text1"/>
        </w:rPr>
        <w:t>做對</w:t>
      </w:r>
      <w:r w:rsidRPr="00D2216C">
        <w:rPr>
          <w:rFonts w:ascii="Kaiti TC" w:eastAsia="Kaiti TC" w:hAnsi="Kaiti TC" w:cs="Arial"/>
          <w:color w:val="000000" w:themeColor="text1"/>
        </w:rPr>
        <w:t>":</w:t>
      </w:r>
    </w:p>
    <w:p w14:paraId="5DF70216" w14:textId="49E27FC1" w:rsidR="00DE3111" w:rsidRPr="00D2216C" w:rsidRDefault="00196FB1" w:rsidP="00A441ED">
      <w:pPr>
        <w:pStyle w:val="a7"/>
        <w:numPr>
          <w:ilvl w:val="1"/>
          <w:numId w:val="7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t>強有力的領導承諾：</w:t>
      </w:r>
      <w:r w:rsidR="00235A59" w:rsidRPr="00D2216C">
        <w:rPr>
          <w:rFonts w:ascii="Kaiti TC" w:eastAsia="Kaiti TC" w:hAnsi="Kaiti TC" w:cs="Arial"/>
          <w:color w:val="000000" w:themeColor="text1"/>
        </w:rPr>
        <w:t>OBC有潛力成為業務的</w:t>
      </w:r>
      <w:r w:rsidR="00235A59" w:rsidRPr="00D2216C">
        <w:rPr>
          <w:rFonts w:ascii="Kaiti TC" w:eastAsia="Kaiti TC" w:hAnsi="Kaiti TC" w:cs="Arial" w:hint="eastAsia"/>
          <w:color w:val="000000" w:themeColor="text1"/>
        </w:rPr>
        <w:t>策</w:t>
      </w:r>
      <w:r w:rsidR="00235A59" w:rsidRPr="00D2216C">
        <w:rPr>
          <w:rFonts w:ascii="Kaiti TC" w:eastAsia="Kaiti TC" w:hAnsi="Kaiti TC" w:cs="Arial"/>
          <w:color w:val="000000" w:themeColor="text1"/>
        </w:rPr>
        <w:t>略要務，並影響長期成功。</w:t>
      </w:r>
      <w:r w:rsidR="00281CCF" w:rsidRPr="00D2216C">
        <w:rPr>
          <w:rFonts w:ascii="Kaiti TC" w:eastAsia="Kaiti TC" w:hAnsi="Kaiti TC" w:cs="Arial"/>
          <w:color w:val="000000" w:themeColor="text1"/>
        </w:rPr>
        <w:t>然而，贏在這個新世界需要投資新的能力</w:t>
      </w:r>
      <w:r w:rsidR="001245BE" w:rsidRPr="00D2216C">
        <w:rPr>
          <w:rFonts w:ascii="Kaiti TC" w:eastAsia="Kaiti TC" w:hAnsi="Kaiti TC" w:cs="Arial"/>
          <w:color w:val="000000" w:themeColor="text1"/>
        </w:rPr>
        <w:t>、</w:t>
      </w:r>
      <w:r w:rsidR="00281CCF" w:rsidRPr="00D2216C">
        <w:rPr>
          <w:rFonts w:ascii="Kaiti TC" w:eastAsia="Kaiti TC" w:hAnsi="Kaiti TC" w:cs="Arial"/>
          <w:color w:val="000000" w:themeColor="text1"/>
        </w:rPr>
        <w:t>遠見和信念，</w:t>
      </w:r>
      <w:r w:rsidR="00DE3111" w:rsidRPr="00D2216C">
        <w:rPr>
          <w:rFonts w:ascii="Kaiti TC" w:eastAsia="Kaiti TC" w:hAnsi="Kaiti TC" w:cs="Arial"/>
          <w:color w:val="000000" w:themeColor="text1"/>
        </w:rPr>
        <w:t>從根本上改變營運方式，同時平衡短期優先事項。</w:t>
      </w:r>
    </w:p>
    <w:p w14:paraId="0D46B4ED" w14:textId="6B7B2360" w:rsidR="003921B0" w:rsidRPr="00D2216C" w:rsidRDefault="006279D4" w:rsidP="00A441ED">
      <w:pPr>
        <w:pStyle w:val="a7"/>
        <w:numPr>
          <w:ilvl w:val="1"/>
          <w:numId w:val="7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lastRenderedPageBreak/>
        <w:t>改變你對風險的看法：</w:t>
      </w:r>
      <w:r w:rsidR="00073315" w:rsidRPr="00D2216C">
        <w:rPr>
          <w:rFonts w:ascii="Kaiti TC" w:eastAsia="Kaiti TC" w:hAnsi="Kaiti TC" w:cs="Arial"/>
          <w:color w:val="000000" w:themeColor="text1"/>
        </w:rPr>
        <w:t>就其本質而言，OBC看起來似乎有風險，</w:t>
      </w:r>
      <w:r w:rsidR="00073315" w:rsidRPr="00D2216C">
        <w:rPr>
          <w:rFonts w:ascii="Kaiti TC" w:eastAsia="Kaiti TC" w:hAnsi="Kaiti TC"/>
          <w:color w:val="000000" w:themeColor="text1"/>
        </w:rPr>
        <w:t>但至關重要的是避免創建</w:t>
      </w:r>
      <w:r w:rsidR="00073315" w:rsidRPr="00D2216C">
        <w:rPr>
          <w:rFonts w:ascii="Kaiti TC" w:eastAsia="Kaiti TC" w:hAnsi="Kaiti TC" w:hint="eastAsia"/>
          <w:color w:val="000000" w:themeColor="text1"/>
        </w:rPr>
        <w:t>沒有下跌風險的</w:t>
      </w:r>
      <w:r w:rsidR="00073315" w:rsidRPr="00D2216C">
        <w:rPr>
          <w:rFonts w:ascii="Kaiti TC" w:eastAsia="Kaiti TC" w:hAnsi="Kaiti TC" w:cs="Arial"/>
          <w:color w:val="000000" w:themeColor="text1"/>
        </w:rPr>
        <w:t>合約。</w:t>
      </w:r>
      <w:r w:rsidR="00BA1BA1" w:rsidRPr="00D2216C">
        <w:rPr>
          <w:rFonts w:ascii="Kaiti TC" w:eastAsia="Kaiti TC" w:hAnsi="Kaiti TC" w:cs="Arial"/>
          <w:color w:val="000000" w:themeColor="text1"/>
        </w:rPr>
        <w:t>這會破壞信任，</w:t>
      </w:r>
      <w:r w:rsidR="00BA1BA1" w:rsidRPr="00D2216C">
        <w:rPr>
          <w:rFonts w:ascii="Kaiti TC" w:eastAsia="Kaiti TC" w:hAnsi="Kaiti TC" w:cs="Arial" w:hint="eastAsia"/>
          <w:color w:val="000000" w:themeColor="text1"/>
        </w:rPr>
        <w:t>並</w:t>
      </w:r>
      <w:r w:rsidR="00BA1BA1" w:rsidRPr="00D2216C">
        <w:rPr>
          <w:rFonts w:ascii="Kaiti TC" w:eastAsia="Kaiti TC" w:hAnsi="Kaiti TC"/>
          <w:color w:val="000000" w:themeColor="text1"/>
        </w:rPr>
        <w:t>可能不利於你試圖達到的目標。</w:t>
      </w:r>
      <w:r w:rsidR="00BA1BA1" w:rsidRPr="00D2216C">
        <w:rPr>
          <w:rFonts w:ascii="Kaiti TC" w:eastAsia="Kaiti TC" w:hAnsi="Kaiti TC" w:cs="Arial"/>
          <w:color w:val="000000" w:themeColor="text1"/>
        </w:rPr>
        <w:t>需要</w:t>
      </w:r>
      <w:r w:rsidR="00BA1BA1" w:rsidRPr="00D2216C">
        <w:rPr>
          <w:rFonts w:ascii="Kaiti TC" w:eastAsia="Kaiti TC" w:hAnsi="Kaiti TC" w:cs="Arial" w:hint="eastAsia"/>
          <w:color w:val="000000" w:themeColor="text1"/>
        </w:rPr>
        <w:t>嵌入</w:t>
      </w:r>
      <w:r w:rsidR="001245BE">
        <w:rPr>
          <w:rFonts w:ascii="Kaiti TC" w:eastAsia="Kaiti TC" w:hAnsi="Kaiti TC" w:cs="Arial"/>
          <w:color w:val="000000" w:themeColor="text1"/>
        </w:rPr>
        <w:t>一個有意義和適量的風險</w:t>
      </w:r>
      <w:r w:rsidR="001245BE">
        <w:rPr>
          <w:rFonts w:ascii="Kaiti TC" w:eastAsia="Kaiti TC" w:hAnsi="Kaiti TC" w:cs="Arial" w:hint="eastAsia"/>
          <w:color w:val="000000" w:themeColor="text1"/>
        </w:rPr>
        <w:t>與</w:t>
      </w:r>
      <w:r w:rsidR="00BA1BA1" w:rsidRPr="00D2216C">
        <w:rPr>
          <w:rFonts w:ascii="Kaiti TC" w:eastAsia="Kaiti TC" w:hAnsi="Kaiti TC" w:cs="Arial"/>
          <w:color w:val="000000" w:themeColor="text1"/>
        </w:rPr>
        <w:t>回報。</w:t>
      </w:r>
    </w:p>
    <w:p w14:paraId="07D86CDF" w14:textId="071B9438" w:rsidR="0007064D" w:rsidRPr="00D2216C" w:rsidRDefault="003921B0" w:rsidP="00A441ED">
      <w:pPr>
        <w:pStyle w:val="a7"/>
        <w:numPr>
          <w:ilvl w:val="1"/>
          <w:numId w:val="7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t>服務是必不可少的：</w:t>
      </w:r>
      <w:r w:rsidR="003A7A91" w:rsidRPr="00D2216C">
        <w:rPr>
          <w:rFonts w:ascii="Kaiti TC" w:eastAsia="Kaiti TC" w:hAnsi="Kaiti TC" w:cs="Arial"/>
          <w:color w:val="000000" w:themeColor="text1"/>
        </w:rPr>
        <w:t>服務在幫助為患者提供最佳結果方面發揮重要作用。</w:t>
      </w:r>
      <w:r w:rsidR="0007064D" w:rsidRPr="00D2216C">
        <w:rPr>
          <w:rFonts w:ascii="Kaiti TC" w:eastAsia="Kaiti TC" w:hAnsi="Kaiti TC" w:cs="Arial" w:hint="eastAsia"/>
          <w:color w:val="000000" w:themeColor="text1"/>
        </w:rPr>
        <w:t>它</w:t>
      </w:r>
      <w:r w:rsidR="0007064D" w:rsidRPr="00D2216C">
        <w:rPr>
          <w:rFonts w:ascii="Kaiti TC" w:eastAsia="Kaiti TC" w:hAnsi="Kaiti TC" w:cs="Arial"/>
          <w:color w:val="000000" w:themeColor="text1"/>
        </w:rPr>
        <w:t>們創造</w:t>
      </w:r>
      <w:r w:rsidR="0007064D" w:rsidRPr="00D2216C">
        <w:rPr>
          <w:rFonts w:ascii="Kaiti TC" w:eastAsia="Kaiti TC" w:hAnsi="Kaiti TC" w:cs="Arial" w:hint="eastAsia"/>
          <w:color w:val="000000" w:themeColor="text1"/>
        </w:rPr>
        <w:t>了</w:t>
      </w:r>
      <w:r w:rsidR="0007064D" w:rsidRPr="00D2216C">
        <w:rPr>
          <w:rFonts w:ascii="Kaiti TC" w:eastAsia="Kaiti TC" w:hAnsi="Kaiti TC" w:cs="Arial"/>
          <w:color w:val="000000" w:themeColor="text1"/>
        </w:rPr>
        <w:t>一個更</w:t>
      </w:r>
      <w:r w:rsidR="0007064D" w:rsidRPr="00D2216C">
        <w:rPr>
          <w:rFonts w:ascii="Kaiti TC" w:eastAsia="Kaiti TC" w:hAnsi="Kaiti TC" w:cs="Arial" w:hint="eastAsia"/>
          <w:color w:val="000000" w:themeColor="text1"/>
        </w:rPr>
        <w:t>可</w:t>
      </w:r>
      <w:r w:rsidR="0007064D" w:rsidRPr="00D2216C">
        <w:rPr>
          <w:rFonts w:ascii="Kaiti TC" w:eastAsia="Kaiti TC" w:hAnsi="Kaiti TC" w:cs="Arial"/>
          <w:color w:val="000000" w:themeColor="text1"/>
        </w:rPr>
        <w:t>控的環境，以此來針對路徑中的其他問題，從而有助於降低結果</w:t>
      </w:r>
      <w:r w:rsidR="0007064D" w:rsidRPr="00D2216C">
        <w:rPr>
          <w:rFonts w:ascii="Kaiti TC" w:eastAsia="Kaiti TC" w:hAnsi="Kaiti TC" w:cs="Arial" w:hint="eastAsia"/>
          <w:color w:val="000000" w:themeColor="text1"/>
        </w:rPr>
        <w:t>協議</w:t>
      </w:r>
      <w:r w:rsidR="0007064D" w:rsidRPr="00D2216C">
        <w:rPr>
          <w:rFonts w:ascii="Kaiti TC" w:eastAsia="Kaiti TC" w:hAnsi="Kaiti TC" w:cs="Arial"/>
          <w:color w:val="000000" w:themeColor="text1"/>
        </w:rPr>
        <w:t>的風險。</w:t>
      </w:r>
      <w:r w:rsidR="0007064D" w:rsidRPr="0007064D">
        <w:rPr>
          <w:rFonts w:ascii="Kaiti TC" w:eastAsia="Kaiti TC" w:hAnsi="Kaiti TC"/>
          <w:color w:val="000000" w:themeColor="text1"/>
        </w:rPr>
        <w:t>此外，</w:t>
      </w:r>
      <w:r w:rsidR="0007064D" w:rsidRPr="00D2216C">
        <w:rPr>
          <w:rFonts w:ascii="Kaiti TC" w:eastAsia="Kaiti TC" w:hAnsi="Kaiti TC" w:cs="Arial"/>
          <w:color w:val="000000" w:themeColor="text1"/>
        </w:rPr>
        <w:t>OBC還提供機會挑戰並合理化</w:t>
      </w:r>
      <w:r w:rsidR="0007064D" w:rsidRPr="00D2216C">
        <w:rPr>
          <w:rFonts w:ascii="Kaiti TC" w:eastAsia="Kaiti TC" w:hAnsi="Kaiti TC" w:cs="Arial" w:hint="eastAsia"/>
          <w:color w:val="000000" w:themeColor="text1"/>
        </w:rPr>
        <w:t>你的</w:t>
      </w:r>
      <w:r w:rsidR="0007064D" w:rsidRPr="00D2216C">
        <w:rPr>
          <w:rFonts w:ascii="Kaiti TC" w:eastAsia="Kaiti TC" w:hAnsi="Kaiti TC" w:cs="Arial"/>
          <w:color w:val="000000" w:themeColor="text1"/>
        </w:rPr>
        <w:t>更廣泛的服務</w:t>
      </w:r>
      <w:r w:rsidR="0007064D" w:rsidRPr="00D2216C">
        <w:rPr>
          <w:rFonts w:ascii="Kaiti TC" w:eastAsia="Kaiti TC" w:hAnsi="Kaiti TC" w:cs="Arial" w:hint="eastAsia"/>
          <w:color w:val="000000" w:themeColor="text1"/>
        </w:rPr>
        <w:t>策略</w:t>
      </w:r>
      <w:r w:rsidR="0007064D" w:rsidRPr="00D2216C">
        <w:rPr>
          <w:rFonts w:ascii="Kaiti TC" w:eastAsia="Kaiti TC" w:hAnsi="Kaiti TC" w:cs="Arial"/>
          <w:color w:val="000000" w:themeColor="text1"/>
        </w:rPr>
        <w:t>，以確保</w:t>
      </w:r>
      <w:r w:rsidR="0007064D" w:rsidRPr="00D2216C">
        <w:rPr>
          <w:rFonts w:ascii="Kaiti TC" w:eastAsia="Kaiti TC" w:hAnsi="Kaiti TC" w:cs="Arial" w:hint="eastAsia"/>
          <w:color w:val="000000" w:themeColor="text1"/>
        </w:rPr>
        <w:t>你</w:t>
      </w:r>
      <w:r w:rsidR="00AC5E74" w:rsidRPr="00D2216C">
        <w:rPr>
          <w:rFonts w:ascii="Kaiti TC" w:eastAsia="Kaiti TC" w:hAnsi="Kaiti TC" w:cs="Arial"/>
          <w:color w:val="000000" w:themeColor="text1"/>
        </w:rPr>
        <w:t>的服務只專注於重要的結果並提高投資</w:t>
      </w:r>
      <w:r w:rsidR="0007064D" w:rsidRPr="00D2216C">
        <w:rPr>
          <w:rFonts w:ascii="Kaiti TC" w:eastAsia="Kaiti TC" w:hAnsi="Kaiti TC" w:cs="Arial"/>
          <w:color w:val="000000" w:themeColor="text1"/>
        </w:rPr>
        <w:t>報</w:t>
      </w:r>
      <w:r w:rsidR="00AC5E74" w:rsidRPr="00D2216C">
        <w:rPr>
          <w:rFonts w:ascii="Kaiti TC" w:eastAsia="Kaiti TC" w:hAnsi="Kaiti TC" w:cs="Arial" w:hint="eastAsia"/>
          <w:color w:val="000000" w:themeColor="text1"/>
        </w:rPr>
        <w:t>酬</w:t>
      </w:r>
      <w:r w:rsidR="0007064D" w:rsidRPr="00D2216C">
        <w:rPr>
          <w:rFonts w:ascii="Kaiti TC" w:eastAsia="Kaiti TC" w:hAnsi="Kaiti TC" w:cs="Arial" w:hint="eastAsia"/>
          <w:color w:val="000000" w:themeColor="text1"/>
        </w:rPr>
        <w:t>率</w:t>
      </w:r>
      <w:r w:rsidR="0007064D" w:rsidRPr="00D2216C">
        <w:rPr>
          <w:rFonts w:ascii="Kaiti TC" w:eastAsia="Kaiti TC" w:hAnsi="Kaiti TC" w:cs="Arial"/>
          <w:color w:val="000000" w:themeColor="text1"/>
        </w:rPr>
        <w:t>。</w:t>
      </w:r>
    </w:p>
    <w:p w14:paraId="06CBF821" w14:textId="3B3831B6" w:rsidR="00D14A7B" w:rsidRPr="00D2216C" w:rsidRDefault="00797B6F" w:rsidP="0007064D">
      <w:pPr>
        <w:pStyle w:val="a7"/>
        <w:numPr>
          <w:ilvl w:val="1"/>
          <w:numId w:val="7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t>以客戶為中心的共同創造：</w:t>
      </w:r>
      <w:r w:rsidR="007A1575">
        <w:rPr>
          <w:rFonts w:ascii="Kaiti TC" w:eastAsia="Kaiti TC" w:hAnsi="Kaiti TC" w:cs="Arial"/>
          <w:color w:val="000000" w:themeColor="text1"/>
        </w:rPr>
        <w:t>與具有前瞻性思維的客戶合作，他們同樣致力於實現這一目標，並避免</w:t>
      </w:r>
      <w:r w:rsidRPr="00D2216C">
        <w:rPr>
          <w:rFonts w:ascii="Kaiti TC" w:eastAsia="Kaiti TC" w:hAnsi="Kaiti TC" w:cs="Arial"/>
          <w:color w:val="000000" w:themeColor="text1"/>
        </w:rPr>
        <w:t>純粹以產品為中心的方式猜測客戶的需求和想法。</w:t>
      </w:r>
    </w:p>
    <w:p w14:paraId="2D1AFD1E" w14:textId="0550AAAC" w:rsidR="00EF54C0" w:rsidRPr="00D2216C" w:rsidRDefault="00D14A7B" w:rsidP="00EF54C0">
      <w:pPr>
        <w:pStyle w:val="a7"/>
        <w:numPr>
          <w:ilvl w:val="1"/>
          <w:numId w:val="7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t>採用業</w:t>
      </w:r>
      <w:r w:rsidRPr="00D2216C">
        <w:rPr>
          <w:rFonts w:ascii="Kaiti TC" w:eastAsia="Kaiti TC" w:hAnsi="Kaiti TC" w:cs="Arial" w:hint="eastAsia"/>
          <w:b/>
          <w:color w:val="000000" w:themeColor="text1"/>
        </w:rPr>
        <w:t>界</w:t>
      </w:r>
      <w:r w:rsidR="007A1575">
        <w:rPr>
          <w:rFonts w:ascii="Kaiti TC" w:eastAsia="Kaiti TC" w:hAnsi="Kaiti TC" w:cs="Arial" w:hint="eastAsia"/>
          <w:b/>
          <w:color w:val="000000" w:themeColor="text1"/>
        </w:rPr>
        <w:t>的</w:t>
      </w:r>
      <w:r w:rsidRPr="00D2216C">
        <w:rPr>
          <w:rFonts w:ascii="Kaiti TC" w:eastAsia="Kaiti TC" w:hAnsi="Kaiti TC" w:cs="Arial"/>
          <w:b/>
          <w:color w:val="000000" w:themeColor="text1"/>
        </w:rPr>
        <w:t>解決方案：</w:t>
      </w:r>
      <w:r w:rsidRPr="00D2216C">
        <w:rPr>
          <w:rFonts w:ascii="Kaiti TC" w:eastAsia="Kaiti TC" w:hAnsi="Kaiti TC" w:cs="Arial"/>
          <w:color w:val="000000" w:themeColor="text1"/>
        </w:rPr>
        <w:t>醫療保健</w:t>
      </w:r>
      <w:r w:rsidRPr="00D2216C">
        <w:rPr>
          <w:rFonts w:ascii="Kaiti TC" w:eastAsia="Kaiti TC" w:hAnsi="Kaiti TC" w:cs="Arial" w:hint="eastAsia"/>
          <w:color w:val="000000" w:themeColor="text1"/>
        </w:rPr>
        <w:t>服務提供者</w:t>
      </w:r>
      <w:r w:rsidRPr="00D2216C">
        <w:rPr>
          <w:rFonts w:ascii="Kaiti TC" w:eastAsia="Kaiti TC" w:hAnsi="Kaiti TC" w:cs="Arial"/>
          <w:color w:val="000000" w:themeColor="text1"/>
        </w:rPr>
        <w:t>的易於實施是一個關鍵的成功因素，需要一個標準的、跨公司的方法。</w:t>
      </w:r>
      <w:r w:rsidR="00EF54C0" w:rsidRPr="00D2216C">
        <w:rPr>
          <w:rFonts w:ascii="Kaiti TC" w:eastAsia="Kaiti TC" w:hAnsi="Kaiti TC" w:cs="Arial"/>
          <w:color w:val="000000" w:themeColor="text1"/>
        </w:rPr>
        <w:t>HOX的目的是</w:t>
      </w:r>
      <w:r w:rsidR="00EF54C0" w:rsidRPr="00D2216C">
        <w:rPr>
          <w:rFonts w:ascii="Kaiti TC" w:eastAsia="Kaiti TC" w:hAnsi="Kaiti TC" w:cs="Arial" w:hint="eastAsia"/>
          <w:color w:val="000000" w:themeColor="text1"/>
        </w:rPr>
        <w:t>透</w:t>
      </w:r>
      <w:r w:rsidR="00EF54C0" w:rsidRPr="00D2216C">
        <w:rPr>
          <w:rFonts w:ascii="Kaiti TC" w:eastAsia="Kaiti TC" w:hAnsi="Kaiti TC" w:cs="Arial"/>
          <w:color w:val="000000" w:themeColor="text1"/>
        </w:rPr>
        <w:t>過在標準的、開放的業</w:t>
      </w:r>
      <w:r w:rsidR="00EF54C0" w:rsidRPr="00D2216C">
        <w:rPr>
          <w:rFonts w:ascii="Kaiti TC" w:eastAsia="Kaiti TC" w:hAnsi="Kaiti TC" w:cs="Arial" w:hint="eastAsia"/>
          <w:color w:val="000000" w:themeColor="text1"/>
        </w:rPr>
        <w:t>界</w:t>
      </w:r>
      <w:r w:rsidR="007A1575">
        <w:rPr>
          <w:rFonts w:ascii="Kaiti TC" w:eastAsia="Kaiti TC" w:hAnsi="Kaiti TC" w:cs="Arial" w:hint="eastAsia"/>
          <w:color w:val="000000" w:themeColor="text1"/>
        </w:rPr>
        <w:t>的</w:t>
      </w:r>
      <w:r w:rsidR="00EF54C0" w:rsidRPr="00D2216C">
        <w:rPr>
          <w:rFonts w:ascii="Kaiti TC" w:eastAsia="Kaiti TC" w:hAnsi="Kaiti TC" w:cs="Arial"/>
          <w:color w:val="000000" w:themeColor="text1"/>
        </w:rPr>
        <w:t>基礎</w:t>
      </w:r>
      <w:r w:rsidR="00EF54C0" w:rsidRPr="00D2216C">
        <w:rPr>
          <w:rFonts w:ascii="Kaiti TC" w:eastAsia="Kaiti TC" w:hAnsi="Kaiti TC" w:cs="Arial" w:hint="eastAsia"/>
          <w:color w:val="000000" w:themeColor="text1"/>
        </w:rPr>
        <w:t>架構</w:t>
      </w:r>
      <w:r w:rsidR="00EF54C0" w:rsidRPr="00D2216C">
        <w:rPr>
          <w:rFonts w:ascii="Kaiti TC" w:eastAsia="Kaiti TC" w:hAnsi="Kaiti TC" w:cs="Arial"/>
          <w:color w:val="000000" w:themeColor="text1"/>
        </w:rPr>
        <w:t>上操作來簡化事情。</w:t>
      </w:r>
    </w:p>
    <w:p w14:paraId="6D647C3A" w14:textId="6B65490C" w:rsidR="00EF54C0" w:rsidRPr="00D2216C" w:rsidRDefault="00EF54C0" w:rsidP="00EF54C0">
      <w:pPr>
        <w:pStyle w:val="a7"/>
        <w:numPr>
          <w:ilvl w:val="1"/>
          <w:numId w:val="7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b/>
          <w:color w:val="000000" w:themeColor="text1"/>
        </w:rPr>
        <w:t>投資建設新的能力：</w:t>
      </w:r>
      <w:r w:rsidRPr="00D2216C">
        <w:rPr>
          <w:rFonts w:ascii="Kaiti TC" w:eastAsia="Kaiti TC" w:hAnsi="Kaiti TC" w:cs="Arial"/>
          <w:color w:val="000000" w:themeColor="text1"/>
        </w:rPr>
        <w:t>生命科學公司現在需要建立新的能力，</w:t>
      </w:r>
      <w:r w:rsidR="00A43889" w:rsidRPr="00D2216C">
        <w:rPr>
          <w:rFonts w:ascii="Kaiti TC" w:eastAsia="Kaiti TC" w:hAnsi="Kaiti TC" w:cs="Arial"/>
          <w:color w:val="000000" w:themeColor="text1"/>
        </w:rPr>
        <w:t>而不是等到能夠做出回應</w:t>
      </w:r>
      <w:r w:rsidR="00A43889" w:rsidRPr="00D2216C">
        <w:rPr>
          <w:rFonts w:ascii="Kaiti TC" w:eastAsia="Kaiti TC" w:hAnsi="Kaiti TC"/>
          <w:color w:val="000000" w:themeColor="text1"/>
        </w:rPr>
        <w:t>，</w:t>
      </w:r>
      <w:r w:rsidR="00A43889" w:rsidRPr="00D2216C">
        <w:rPr>
          <w:rFonts w:ascii="Kaiti TC" w:eastAsia="Kaiti TC" w:hAnsi="Kaiti TC" w:cs="Arial"/>
          <w:color w:val="000000" w:themeColor="text1"/>
        </w:rPr>
        <w:t>為時已晚。</w:t>
      </w:r>
    </w:p>
    <w:p w14:paraId="246E2F96" w14:textId="77777777" w:rsidR="00F06392" w:rsidRPr="00D2216C" w:rsidRDefault="003A5A8A" w:rsidP="00EF54C0">
      <w:pPr>
        <w:pStyle w:val="a7"/>
        <w:numPr>
          <w:ilvl w:val="1"/>
          <w:numId w:val="7"/>
        </w:numPr>
        <w:spacing w:before="180" w:line="0" w:lineRule="atLeast"/>
        <w:ind w:leftChars="0"/>
        <w:jc w:val="both"/>
        <w:rPr>
          <w:rFonts w:ascii="Kaiti TC" w:eastAsia="Kaiti TC" w:hAnsi="Kaiti TC" w:cs="Arial"/>
          <w:color w:val="000000" w:themeColor="text1"/>
        </w:rPr>
      </w:pPr>
      <w:r w:rsidRPr="007A1575">
        <w:rPr>
          <w:rFonts w:ascii="Kaiti TC" w:eastAsia="Kaiti TC" w:hAnsi="Kaiti TC" w:cs="Arial"/>
          <w:b/>
          <w:color w:val="000000" w:themeColor="text1"/>
        </w:rPr>
        <w:t>實驗測試和學習：</w:t>
      </w:r>
      <w:r w:rsidRPr="00D2216C">
        <w:rPr>
          <w:rFonts w:ascii="Kaiti TC" w:eastAsia="Kaiti TC" w:hAnsi="Kaiti TC" w:cs="Arial"/>
          <w:color w:val="000000" w:themeColor="text1"/>
        </w:rPr>
        <w:t>雙方最好在跳入一份</w:t>
      </w:r>
      <w:r w:rsidR="00F06392" w:rsidRPr="00D2216C">
        <w:rPr>
          <w:rFonts w:ascii="Kaiti TC" w:eastAsia="Kaiti TC" w:hAnsi="Kaiti TC" w:cs="Arial"/>
          <w:color w:val="000000" w:themeColor="text1"/>
        </w:rPr>
        <w:t>雙方認為有風險的全面合同協議</w:t>
      </w:r>
      <w:r w:rsidRPr="00D2216C">
        <w:rPr>
          <w:rFonts w:ascii="Kaiti TC" w:eastAsia="Kaiti TC" w:hAnsi="Kaiti TC" w:cs="Arial"/>
          <w:color w:val="000000" w:themeColor="text1"/>
        </w:rPr>
        <w:t>之前進行試驗和學習。</w:t>
      </w:r>
    </w:p>
    <w:p w14:paraId="76F8CF2A" w14:textId="13A018EC" w:rsidR="0076136D" w:rsidRPr="00D2216C" w:rsidRDefault="00120782" w:rsidP="007A1575">
      <w:pPr>
        <w:spacing w:before="12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>對於那些認為OBC將在未來生命科學公司如何</w:t>
      </w:r>
      <w:r w:rsidRPr="00D2216C">
        <w:rPr>
          <w:rFonts w:ascii="Kaiti TC" w:eastAsia="Kaiti TC" w:hAnsi="Kaiti TC" w:cs="Arial" w:hint="eastAsia"/>
          <w:color w:val="000000" w:themeColor="text1"/>
        </w:rPr>
        <w:t>被給付</w:t>
      </w:r>
      <w:r w:rsidRPr="00D2216C">
        <w:rPr>
          <w:rFonts w:ascii="Kaiti TC" w:eastAsia="Kaiti TC" w:hAnsi="Kaiti TC" w:cs="Arial"/>
          <w:color w:val="000000" w:themeColor="text1"/>
        </w:rPr>
        <w:t>發揮重要作用的人來說，現在</w:t>
      </w:r>
      <w:r w:rsidRPr="00D2216C">
        <w:rPr>
          <w:rFonts w:ascii="Kaiti TC" w:eastAsia="Kaiti TC" w:hAnsi="Kaiti TC" w:cs="Arial" w:hint="eastAsia"/>
          <w:color w:val="000000" w:themeColor="text1"/>
        </w:rPr>
        <w:t>是</w:t>
      </w:r>
      <w:r w:rsidRPr="00D2216C">
        <w:rPr>
          <w:rFonts w:ascii="Kaiti TC" w:eastAsia="Kaiti TC" w:hAnsi="Kaiti TC" w:cs="Arial"/>
          <w:color w:val="000000" w:themeColor="text1"/>
        </w:rPr>
        <w:t>追求OBC</w:t>
      </w:r>
      <w:r w:rsidRPr="00D2216C">
        <w:rPr>
          <w:rFonts w:ascii="Kaiti TC" w:eastAsia="Kaiti TC" w:hAnsi="Kaiti TC" w:cs="Arial" w:hint="eastAsia"/>
          <w:color w:val="000000" w:themeColor="text1"/>
        </w:rPr>
        <w:t>的最好時機</w:t>
      </w:r>
      <w:r w:rsidRPr="00D2216C">
        <w:rPr>
          <w:rFonts w:ascii="Kaiti TC" w:eastAsia="Kaiti TC" w:hAnsi="Kaiti TC" w:cs="Arial"/>
          <w:color w:val="000000" w:themeColor="text1"/>
        </w:rPr>
        <w:t>。</w:t>
      </w:r>
      <w:r w:rsidR="0076136D" w:rsidRPr="00D2216C">
        <w:rPr>
          <w:rFonts w:ascii="Kaiti TC" w:eastAsia="Kaiti TC" w:hAnsi="Kaiti TC" w:cs="Arial"/>
          <w:color w:val="000000" w:themeColor="text1"/>
        </w:rPr>
        <w:t>現在是生命科學公司真正改變行業的遊戲，並準備對他們所提供的結果作出判斷的時候了。</w:t>
      </w:r>
    </w:p>
    <w:p w14:paraId="241984A6" w14:textId="77777777" w:rsidR="00876503" w:rsidRPr="00D2216C" w:rsidRDefault="00876503" w:rsidP="00876503">
      <w:pPr>
        <w:shd w:val="clear" w:color="auto" w:fill="FFFFFF"/>
        <w:spacing w:beforeLines="50" w:before="18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/>
          <w:color w:val="000000" w:themeColor="text1"/>
        </w:rPr>
        <w:t> </w:t>
      </w:r>
      <w:r w:rsidRPr="00D2216C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D2216C">
        <w:rPr>
          <w:rFonts w:ascii="Kaiti TC" w:eastAsia="Kaiti TC" w:hAnsi="Kaiti TC" w:cs="細明體"/>
          <w:color w:val="000000" w:themeColor="text1"/>
        </w:rPr>
        <w:t>※</w:t>
      </w:r>
    </w:p>
    <w:p w14:paraId="4177556E" w14:textId="77777777" w:rsidR="004006C6" w:rsidRPr="00D2216C" w:rsidRDefault="004006C6" w:rsidP="004006C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/>
          <w:color w:val="000000" w:themeColor="text1"/>
          <w:szCs w:val="28"/>
        </w:rPr>
        <w:t>4</w:t>
      </w:r>
      <w:r w:rsidR="00BC066D" w:rsidRPr="00D2216C">
        <w:rPr>
          <w:rFonts w:ascii="Kaiti TC" w:eastAsia="Kaiti TC" w:hAnsi="Kaiti TC"/>
          <w:color w:val="000000" w:themeColor="text1"/>
          <w:szCs w:val="28"/>
        </w:rPr>
        <w:t>月</w:t>
      </w:r>
      <w:r w:rsidRPr="00D2216C">
        <w:rPr>
          <w:rFonts w:ascii="Kaiti TC" w:eastAsia="Kaiti TC" w:hAnsi="Kaiti TC"/>
          <w:color w:val="000000" w:themeColor="text1"/>
          <w:szCs w:val="28"/>
        </w:rPr>
        <w:t>19</w:t>
      </w:r>
      <w:r w:rsidR="00BC066D" w:rsidRPr="00D2216C">
        <w:rPr>
          <w:rFonts w:ascii="Kaiti TC" w:eastAsia="Kaiti TC" w:hAnsi="Kaiti TC"/>
          <w:color w:val="000000" w:themeColor="text1"/>
          <w:szCs w:val="28"/>
        </w:rPr>
        <w:t>日</w:t>
      </w:r>
      <w:r w:rsidR="003A0A49" w:rsidRPr="003A0A49">
        <w:rPr>
          <w:rFonts w:ascii="Kaiti TC" w:eastAsia="Kaiti TC" w:hAnsi="Kaiti TC"/>
          <w:color w:val="000000" w:themeColor="text1"/>
          <w:szCs w:val="28"/>
        </w:rPr>
        <w:t>全民健康保險藥物給付項目及支付標準共同擬訂會議</w:t>
      </w:r>
      <w:r w:rsidR="00BC066D" w:rsidRPr="00D2216C">
        <w:rPr>
          <w:rFonts w:ascii="Kaiti TC" w:eastAsia="Kaiti TC" w:hAnsi="Kaiti TC"/>
          <w:color w:val="000000" w:themeColor="text1"/>
          <w:szCs w:val="28"/>
        </w:rPr>
        <w:t>同意健保署擬訂之「高費用癌症藥品送審原則」</w:t>
      </w:r>
      <w:r w:rsidR="00FE0A2F" w:rsidRPr="00D2216C">
        <w:rPr>
          <w:rFonts w:ascii="Kaiti TC" w:eastAsia="Kaiti TC" w:hAnsi="Kaiti TC" w:cs="Arial"/>
          <w:color w:val="000000" w:themeColor="text1"/>
        </w:rPr>
        <w:t>。</w:t>
      </w:r>
      <w:r w:rsidR="00FE0A2F" w:rsidRPr="00D2216C">
        <w:rPr>
          <w:rFonts w:ascii="Kaiti TC" w:eastAsia="Kaiti TC" w:hAnsi="Kaiti TC" w:cs="Arial" w:hint="eastAsia"/>
          <w:color w:val="000000" w:themeColor="text1"/>
        </w:rPr>
        <w:t>維持現行的以藥品價量為基礎的價量協議之外</w:t>
      </w:r>
      <w:r w:rsidR="00FE0A2F" w:rsidRPr="00D2216C">
        <w:rPr>
          <w:rFonts w:ascii="Kaiti TC" w:eastAsia="Kaiti TC" w:hAnsi="Kaiti TC" w:cs="Arial"/>
          <w:color w:val="000000" w:themeColor="text1"/>
        </w:rPr>
        <w:t>，</w:t>
      </w:r>
      <w:r w:rsidR="00FE0A2F" w:rsidRPr="00D2216C">
        <w:rPr>
          <w:rFonts w:ascii="Kaiti TC" w:eastAsia="Kaiti TC" w:hAnsi="Kaiti TC" w:cs="Arial" w:hint="eastAsia"/>
          <w:color w:val="000000" w:themeColor="text1"/>
        </w:rPr>
        <w:t>增訂其他協議方式</w:t>
      </w:r>
      <w:r w:rsidR="00FE0A2F" w:rsidRPr="00D2216C">
        <w:rPr>
          <w:rFonts w:ascii="Kaiti TC" w:eastAsia="Kaiti TC" w:hAnsi="Kaiti TC" w:cs="Arial"/>
          <w:color w:val="000000" w:themeColor="text1"/>
        </w:rPr>
        <w:t>，</w:t>
      </w:r>
      <w:r w:rsidR="00FE0A2F" w:rsidRPr="00D2216C">
        <w:rPr>
          <w:rFonts w:ascii="Kaiti TC" w:eastAsia="Kaiti TC" w:hAnsi="Kaiti TC" w:cs="Arial" w:hint="eastAsia"/>
          <w:color w:val="000000" w:themeColor="text1"/>
        </w:rPr>
        <w:t>例如依藥品療效結果或財務結果為基礎之其他協議</w:t>
      </w:r>
      <w:r w:rsidR="00FE0A2F" w:rsidRPr="00D2216C">
        <w:rPr>
          <w:rFonts w:ascii="Kaiti TC" w:eastAsia="Kaiti TC" w:hAnsi="Kaiti TC" w:cs="Arial"/>
          <w:color w:val="000000" w:themeColor="text1"/>
        </w:rPr>
        <w:t>。</w:t>
      </w:r>
      <w:r w:rsidR="00FE0A2F" w:rsidRPr="00D2216C">
        <w:rPr>
          <w:rFonts w:ascii="Kaiti TC" w:eastAsia="Kaiti TC" w:hAnsi="Kaiti TC" w:cs="Arial" w:hint="eastAsia"/>
          <w:color w:val="000000" w:themeColor="text1"/>
        </w:rPr>
        <w:t>依療效結果為基礎的協議方案</w:t>
      </w:r>
      <w:r w:rsidR="00FE0A2F" w:rsidRPr="00D2216C">
        <w:rPr>
          <w:rFonts w:ascii="Kaiti TC" w:eastAsia="Kaiti TC" w:hAnsi="Kaiti TC" w:cs="Arial"/>
          <w:color w:val="000000" w:themeColor="text1"/>
        </w:rPr>
        <w:t>，</w:t>
      </w:r>
      <w:r w:rsidR="00FE0A2F" w:rsidRPr="00D2216C">
        <w:rPr>
          <w:rFonts w:ascii="Kaiti TC" w:eastAsia="Kaiti TC" w:hAnsi="Kaiti TC" w:cs="Arial" w:hint="eastAsia"/>
          <w:color w:val="000000" w:themeColor="text1"/>
        </w:rPr>
        <w:t>包括改善整體存活確保方案</w:t>
      </w:r>
      <w:r w:rsidR="00FE0A2F" w:rsidRPr="00D2216C">
        <w:rPr>
          <w:rFonts w:ascii="Kaiti TC" w:eastAsia="Kaiti TC" w:hAnsi="Kaiti TC" w:cs="Arial"/>
          <w:color w:val="000000" w:themeColor="text1"/>
        </w:rPr>
        <w:t>、</w:t>
      </w:r>
      <w:r w:rsidR="004C7999" w:rsidRPr="00D2216C">
        <w:rPr>
          <w:rFonts w:ascii="Kaiti TC" w:eastAsia="Kaiti TC" w:hAnsi="Kaiti TC" w:cs="Arial" w:hint="eastAsia"/>
          <w:color w:val="000000" w:themeColor="text1"/>
        </w:rPr>
        <w:t>延緩疾病惡化確保方案</w:t>
      </w:r>
      <w:r w:rsidR="004C7999" w:rsidRPr="00D2216C">
        <w:rPr>
          <w:rFonts w:ascii="Kaiti TC" w:eastAsia="Kaiti TC" w:hAnsi="Kaiti TC" w:cs="Arial"/>
          <w:color w:val="000000" w:themeColor="text1"/>
        </w:rPr>
        <w:t>、</w:t>
      </w:r>
      <w:r w:rsidR="004C7999" w:rsidRPr="00D2216C">
        <w:rPr>
          <w:rFonts w:ascii="Kaiti TC" w:eastAsia="Kaiti TC" w:hAnsi="Kaiti TC" w:cs="Arial" w:hint="eastAsia"/>
          <w:color w:val="000000" w:themeColor="text1"/>
        </w:rPr>
        <w:t>臨床療效還款方案</w:t>
      </w:r>
      <w:r w:rsidR="004C7999" w:rsidRPr="00D2216C">
        <w:rPr>
          <w:rFonts w:ascii="Kaiti TC" w:eastAsia="Kaiti TC" w:hAnsi="Kaiti TC" w:cs="Arial"/>
          <w:color w:val="000000" w:themeColor="text1"/>
        </w:rPr>
        <w:t xml:space="preserve">; </w:t>
      </w:r>
      <w:r w:rsidR="004C7999" w:rsidRPr="00D2216C">
        <w:rPr>
          <w:rFonts w:ascii="Kaiti TC" w:eastAsia="Kaiti TC" w:hAnsi="Kaiti TC" w:cs="Arial" w:hint="eastAsia"/>
          <w:color w:val="000000" w:themeColor="text1"/>
        </w:rPr>
        <w:t>依財務結果為基礎之協議方案</w:t>
      </w:r>
      <w:r w:rsidR="004C7999" w:rsidRPr="00D2216C">
        <w:rPr>
          <w:rFonts w:ascii="Kaiti TC" w:eastAsia="Kaiti TC" w:hAnsi="Kaiti TC" w:cs="Arial"/>
          <w:color w:val="000000" w:themeColor="text1"/>
        </w:rPr>
        <w:t>，</w:t>
      </w:r>
      <w:r w:rsidR="004C7999" w:rsidRPr="00D2216C">
        <w:rPr>
          <w:rFonts w:ascii="Kaiti TC" w:eastAsia="Kaiti TC" w:hAnsi="Kaiti TC" w:cs="Arial" w:hint="eastAsia"/>
          <w:color w:val="000000" w:themeColor="text1"/>
        </w:rPr>
        <w:t>包括固定折扣方案</w:t>
      </w:r>
      <w:r w:rsidR="004C7999" w:rsidRPr="00D2216C">
        <w:rPr>
          <w:rFonts w:ascii="Kaiti TC" w:eastAsia="Kaiti TC" w:hAnsi="Kaiti TC" w:cs="Arial"/>
          <w:color w:val="000000" w:themeColor="text1"/>
        </w:rPr>
        <w:t>、</w:t>
      </w:r>
      <w:r w:rsidR="004C7999" w:rsidRPr="00D2216C">
        <w:rPr>
          <w:rFonts w:ascii="Kaiti TC" w:eastAsia="Kaiti TC" w:hAnsi="Kaiti TC" w:cs="Arial" w:hint="eastAsia"/>
          <w:color w:val="000000" w:themeColor="text1"/>
        </w:rPr>
        <w:t>藥費補助方案</w:t>
      </w:r>
      <w:r w:rsidR="004C7999" w:rsidRPr="00D2216C">
        <w:rPr>
          <w:rFonts w:ascii="Kaiti TC" w:eastAsia="Kaiti TC" w:hAnsi="Kaiti TC" w:cs="Arial"/>
          <w:color w:val="000000" w:themeColor="text1"/>
        </w:rPr>
        <w:t>、</w:t>
      </w:r>
      <w:r w:rsidR="004C7999" w:rsidRPr="00D2216C">
        <w:rPr>
          <w:rFonts w:ascii="Kaiti TC" w:eastAsia="Kaiti TC" w:hAnsi="Kaiti TC" w:cs="Arial" w:hint="eastAsia"/>
          <w:color w:val="000000" w:themeColor="text1"/>
        </w:rPr>
        <w:t>藥品搭配方案等</w:t>
      </w:r>
      <w:r w:rsidR="004C7999" w:rsidRPr="00D2216C">
        <w:rPr>
          <w:rFonts w:ascii="Kaiti TC" w:eastAsia="Kaiti TC" w:hAnsi="Kaiti TC" w:cs="Arial"/>
          <w:color w:val="000000" w:themeColor="text1"/>
        </w:rPr>
        <w:t>。</w:t>
      </w:r>
    </w:p>
    <w:p w14:paraId="6B33B07C" w14:textId="5D93720E" w:rsidR="00BC066D" w:rsidRPr="00D2216C" w:rsidRDefault="004C7999" w:rsidP="004006C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 w:hint="eastAsia"/>
          <w:color w:val="000000" w:themeColor="text1"/>
        </w:rPr>
        <w:t>這樣的協議</w:t>
      </w:r>
      <w:r w:rsidR="007A1575">
        <w:rPr>
          <w:rFonts w:ascii="Kaiti TC" w:eastAsia="Kaiti TC" w:hAnsi="Kaiti TC" w:cs="Arial" w:hint="eastAsia"/>
          <w:color w:val="000000" w:themeColor="text1"/>
        </w:rPr>
        <w:t>將</w:t>
      </w:r>
      <w:r w:rsidRPr="00D2216C">
        <w:rPr>
          <w:rFonts w:ascii="Kaiti TC" w:eastAsia="Kaiti TC" w:hAnsi="Kaiti TC" w:cs="Arial" w:hint="eastAsia"/>
          <w:color w:val="000000" w:themeColor="text1"/>
        </w:rPr>
        <w:t>對行銷模式</w:t>
      </w:r>
      <w:r w:rsidR="007A1575">
        <w:rPr>
          <w:rFonts w:ascii="Kaiti TC" w:eastAsia="Kaiti TC" w:hAnsi="Kaiti TC" w:cs="Arial" w:hint="eastAsia"/>
          <w:color w:val="000000" w:themeColor="text1"/>
        </w:rPr>
        <w:t>有什麼影響</w:t>
      </w:r>
      <w:r w:rsidRPr="00D2216C">
        <w:rPr>
          <w:rFonts w:ascii="Kaiti TC" w:eastAsia="Kaiti TC" w:hAnsi="Kaiti TC" w:cs="Arial"/>
          <w:color w:val="000000" w:themeColor="text1"/>
        </w:rPr>
        <w:t xml:space="preserve">? </w:t>
      </w:r>
      <w:r w:rsidRPr="00D2216C">
        <w:rPr>
          <w:rFonts w:ascii="Kaiti TC" w:eastAsia="Kaiti TC" w:hAnsi="Kaiti TC" w:cs="Arial" w:hint="eastAsia"/>
          <w:color w:val="000000" w:themeColor="text1"/>
        </w:rPr>
        <w:t>MR的業績</w:t>
      </w:r>
      <w:r w:rsidR="007A1575">
        <w:rPr>
          <w:rFonts w:ascii="Kaiti TC" w:eastAsia="Kaiti TC" w:hAnsi="Kaiti TC" w:cs="Arial" w:hint="eastAsia"/>
          <w:color w:val="000000" w:themeColor="text1"/>
        </w:rPr>
        <w:t>配額和績效要如何設定與評量</w:t>
      </w:r>
      <w:r w:rsidR="003947B2" w:rsidRPr="00D2216C">
        <w:rPr>
          <w:rFonts w:ascii="Kaiti TC" w:eastAsia="Kaiti TC" w:hAnsi="Kaiti TC" w:cs="Arial"/>
          <w:color w:val="000000" w:themeColor="text1"/>
        </w:rPr>
        <w:t>?</w:t>
      </w:r>
      <w:r w:rsidR="003947B2" w:rsidRPr="00D2216C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3947B2" w:rsidRPr="00D2216C">
        <w:rPr>
          <w:rFonts w:ascii="Kaiti TC" w:eastAsia="Kaiti TC" w:hAnsi="Kaiti TC" w:cs="Arial"/>
          <w:color w:val="000000" w:themeColor="text1"/>
        </w:rPr>
        <w:t>MR</w:t>
      </w:r>
      <w:r w:rsidR="007A1575">
        <w:rPr>
          <w:rFonts w:ascii="Kaiti TC" w:eastAsia="Kaiti TC" w:hAnsi="Kaiti TC" w:cs="Arial" w:hint="eastAsia"/>
          <w:color w:val="000000" w:themeColor="text1"/>
        </w:rPr>
        <w:t>的活動必須做什麼改變</w:t>
      </w:r>
      <w:r w:rsidR="003947B2" w:rsidRPr="00D2216C">
        <w:rPr>
          <w:rFonts w:ascii="Kaiti TC" w:eastAsia="Kaiti TC" w:hAnsi="Kaiti TC" w:cs="Arial"/>
          <w:color w:val="000000" w:themeColor="text1"/>
        </w:rPr>
        <w:t xml:space="preserve">? </w:t>
      </w:r>
      <w:r w:rsidR="007A1575">
        <w:rPr>
          <w:rFonts w:ascii="Kaiti TC" w:eastAsia="Kaiti TC" w:hAnsi="Kaiti TC" w:cs="Arial" w:hint="eastAsia"/>
          <w:color w:val="000000" w:themeColor="text1"/>
        </w:rPr>
        <w:t>重要的是</w:t>
      </w:r>
      <w:r w:rsidR="007A1575" w:rsidRPr="00D2216C">
        <w:rPr>
          <w:rFonts w:ascii="Kaiti TC" w:eastAsia="Kaiti TC" w:hAnsi="Kaiti TC" w:cs="Arial"/>
          <w:color w:val="000000" w:themeColor="text1"/>
        </w:rPr>
        <w:t>，</w:t>
      </w:r>
      <w:r w:rsidR="003947B2" w:rsidRPr="00D2216C">
        <w:rPr>
          <w:rFonts w:ascii="Kaiti TC" w:eastAsia="Kaiti TC" w:hAnsi="Kaiti TC" w:cs="Arial" w:hint="eastAsia"/>
          <w:color w:val="000000" w:themeColor="text1"/>
        </w:rPr>
        <w:t>MR必須具備什麼</w:t>
      </w:r>
      <w:r w:rsidR="007A1575">
        <w:rPr>
          <w:rFonts w:ascii="Kaiti TC" w:eastAsia="Kaiti TC" w:hAnsi="Kaiti TC" w:cs="Arial" w:hint="eastAsia"/>
          <w:color w:val="000000" w:themeColor="text1"/>
        </w:rPr>
        <w:t>專業能力可以更靈活去面對挑戰</w:t>
      </w:r>
      <w:r w:rsidR="003947B2" w:rsidRPr="00D2216C">
        <w:rPr>
          <w:rFonts w:ascii="Kaiti TC" w:eastAsia="Kaiti TC" w:hAnsi="Kaiti TC" w:cs="Arial"/>
          <w:color w:val="000000" w:themeColor="text1"/>
        </w:rPr>
        <w:t>?</w:t>
      </w:r>
    </w:p>
    <w:p w14:paraId="65DD73B9" w14:textId="5303D06E" w:rsidR="003947B2" w:rsidRPr="00D2216C" w:rsidRDefault="003947B2" w:rsidP="003947B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/>
          <w:color w:val="000000" w:themeColor="text1"/>
        </w:rPr>
        <w:t xml:space="preserve">  </w:t>
      </w:r>
      <w:r w:rsidRPr="00D2216C">
        <w:rPr>
          <w:rFonts w:ascii="Kaiti TC" w:eastAsia="Kaiti TC" w:hAnsi="Kaiti TC" w:cs="Arial" w:hint="eastAsia"/>
          <w:color w:val="000000" w:themeColor="text1"/>
        </w:rPr>
        <w:t>儘早做好準</w:t>
      </w:r>
      <w:bookmarkStart w:id="0" w:name="_GoBack"/>
      <w:bookmarkEnd w:id="0"/>
      <w:r w:rsidRPr="00D2216C">
        <w:rPr>
          <w:rFonts w:ascii="Kaiti TC" w:eastAsia="Kaiti TC" w:hAnsi="Kaiti TC" w:cs="Arial" w:hint="eastAsia"/>
          <w:color w:val="000000" w:themeColor="text1"/>
        </w:rPr>
        <w:t>備</w:t>
      </w:r>
      <w:r w:rsidRPr="00D2216C">
        <w:rPr>
          <w:rFonts w:ascii="Kaiti TC" w:eastAsia="Kaiti TC" w:hAnsi="Kaiti TC" w:cs="Arial"/>
          <w:color w:val="000000" w:themeColor="text1"/>
        </w:rPr>
        <w:t>，而不是等到能夠做出回應</w:t>
      </w:r>
      <w:r w:rsidRPr="00D2216C">
        <w:rPr>
          <w:rFonts w:ascii="Kaiti TC" w:eastAsia="Kaiti TC" w:hAnsi="Kaiti TC"/>
          <w:color w:val="000000" w:themeColor="text1"/>
        </w:rPr>
        <w:t>，</w:t>
      </w:r>
      <w:r w:rsidRPr="00D2216C">
        <w:rPr>
          <w:rFonts w:ascii="Kaiti TC" w:eastAsia="Kaiti TC" w:hAnsi="Kaiti TC" w:cs="Arial"/>
          <w:color w:val="000000" w:themeColor="text1"/>
        </w:rPr>
        <w:t>為時已晚。</w:t>
      </w:r>
    </w:p>
    <w:p w14:paraId="545FF469" w14:textId="7327E5E9" w:rsidR="003947B2" w:rsidRPr="00D2216C" w:rsidRDefault="003947B2" w:rsidP="003947B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 w:hint="eastAsia"/>
          <w:color w:val="000000" w:themeColor="text1"/>
        </w:rPr>
        <w:lastRenderedPageBreak/>
        <w:t>(取材自</w:t>
      </w:r>
      <w:r w:rsidR="001B0AF3" w:rsidRPr="00D2216C">
        <w:rPr>
          <w:rFonts w:ascii="Kaiti TC" w:eastAsia="Kaiti TC" w:hAnsi="Kaiti TC" w:cs="Arial" w:hint="eastAsia"/>
          <w:color w:val="000000" w:themeColor="text1"/>
        </w:rPr>
        <w:t>PMLiVE.com)</w:t>
      </w:r>
    </w:p>
    <w:p w14:paraId="488DEBE9" w14:textId="1B26A072" w:rsidR="003F1D0E" w:rsidRPr="00EC7883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C7883">
        <w:rPr>
          <w:rFonts w:ascii="Kaiti TC" w:eastAsia="Kaiti TC" w:hAnsi="Kaiti TC" w:cs="RyuminPro-Light"/>
          <w:color w:val="000000" w:themeColor="text1"/>
        </w:rPr>
        <w:t>–</w:t>
      </w:r>
      <w:r w:rsidRPr="00EC7883">
        <w:rPr>
          <w:rFonts w:ascii="Kaiti TC" w:eastAsia="Kaiti TC" w:hAnsi="Kaiti TC" w:cs="RyuminPro-Light" w:hint="eastAsia"/>
          <w:color w:val="000000" w:themeColor="text1"/>
        </w:rPr>
        <w:t>End</w:t>
      </w:r>
      <w:r w:rsidRPr="00EC7883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EC7883" w:rsidSect="00BA3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B3D48" w14:textId="77777777" w:rsidR="00B97384" w:rsidRDefault="00B97384" w:rsidP="00D432A3">
      <w:pPr>
        <w:spacing w:before="120"/>
      </w:pPr>
      <w:r>
        <w:separator/>
      </w:r>
    </w:p>
  </w:endnote>
  <w:endnote w:type="continuationSeparator" w:id="0">
    <w:p w14:paraId="146589D1" w14:textId="77777777" w:rsidR="00B97384" w:rsidRDefault="00B97384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A15E" w14:textId="77777777" w:rsidR="00B97384" w:rsidRDefault="00B97384" w:rsidP="00D432A3">
      <w:pPr>
        <w:spacing w:before="120"/>
      </w:pPr>
      <w:r>
        <w:separator/>
      </w:r>
    </w:p>
  </w:footnote>
  <w:footnote w:type="continuationSeparator" w:id="0">
    <w:p w14:paraId="6659A7CD" w14:textId="77777777" w:rsidR="00B97384" w:rsidRDefault="00B97384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7BE"/>
    <w:multiLevelType w:val="multilevel"/>
    <w:tmpl w:val="1630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72313"/>
    <w:multiLevelType w:val="multilevel"/>
    <w:tmpl w:val="8838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65F87"/>
    <w:multiLevelType w:val="multilevel"/>
    <w:tmpl w:val="07AA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72B6A"/>
    <w:multiLevelType w:val="multilevel"/>
    <w:tmpl w:val="8240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72BE"/>
    <w:multiLevelType w:val="hybridMultilevel"/>
    <w:tmpl w:val="3FE81E1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DD8617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8F6A98"/>
    <w:multiLevelType w:val="multilevel"/>
    <w:tmpl w:val="496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374E2"/>
    <w:multiLevelType w:val="hybridMultilevel"/>
    <w:tmpl w:val="55C6147C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F2D3B03"/>
    <w:multiLevelType w:val="multilevel"/>
    <w:tmpl w:val="345E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40DCA"/>
    <w:multiLevelType w:val="multilevel"/>
    <w:tmpl w:val="77AA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5352C"/>
    <w:multiLevelType w:val="multilevel"/>
    <w:tmpl w:val="2F98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63FDA"/>
    <w:multiLevelType w:val="hybridMultilevel"/>
    <w:tmpl w:val="7B307D4E"/>
    <w:lvl w:ilvl="0" w:tplc="DD8617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 w15:restartNumberingAfterBreak="0">
    <w:nsid w:val="24FD391A"/>
    <w:multiLevelType w:val="multilevel"/>
    <w:tmpl w:val="C42E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2440C"/>
    <w:multiLevelType w:val="multilevel"/>
    <w:tmpl w:val="83386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2685D"/>
    <w:multiLevelType w:val="multilevel"/>
    <w:tmpl w:val="0784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C11E42"/>
    <w:multiLevelType w:val="multilevel"/>
    <w:tmpl w:val="1C7C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B54D6B"/>
    <w:multiLevelType w:val="multilevel"/>
    <w:tmpl w:val="AF9C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192299"/>
    <w:multiLevelType w:val="multilevel"/>
    <w:tmpl w:val="1E2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8E7F69"/>
    <w:multiLevelType w:val="multilevel"/>
    <w:tmpl w:val="53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7C20E2"/>
    <w:multiLevelType w:val="multilevel"/>
    <w:tmpl w:val="703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167BCE"/>
    <w:multiLevelType w:val="multilevel"/>
    <w:tmpl w:val="DB7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1F058D"/>
    <w:multiLevelType w:val="hybridMultilevel"/>
    <w:tmpl w:val="493E1E54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32965C19"/>
    <w:multiLevelType w:val="multilevel"/>
    <w:tmpl w:val="0A46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F7741"/>
    <w:multiLevelType w:val="hybridMultilevel"/>
    <w:tmpl w:val="8CC84BB6"/>
    <w:lvl w:ilvl="0" w:tplc="3E440434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FD00F7"/>
    <w:multiLevelType w:val="multilevel"/>
    <w:tmpl w:val="485E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884E43"/>
    <w:multiLevelType w:val="multilevel"/>
    <w:tmpl w:val="2B0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BA1F6A"/>
    <w:multiLevelType w:val="multilevel"/>
    <w:tmpl w:val="A644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A412EC"/>
    <w:multiLevelType w:val="multilevel"/>
    <w:tmpl w:val="581C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3E264A"/>
    <w:multiLevelType w:val="multilevel"/>
    <w:tmpl w:val="3DA6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0128B0"/>
    <w:multiLevelType w:val="multilevel"/>
    <w:tmpl w:val="40A8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EE729B"/>
    <w:multiLevelType w:val="multilevel"/>
    <w:tmpl w:val="E4E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7D0473"/>
    <w:multiLevelType w:val="multilevel"/>
    <w:tmpl w:val="A7E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973DB"/>
    <w:multiLevelType w:val="multilevel"/>
    <w:tmpl w:val="ECD0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D7465D"/>
    <w:multiLevelType w:val="multilevel"/>
    <w:tmpl w:val="4B2A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5C5E56"/>
    <w:multiLevelType w:val="multilevel"/>
    <w:tmpl w:val="B21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00D04"/>
    <w:multiLevelType w:val="multilevel"/>
    <w:tmpl w:val="2C44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A94A06"/>
    <w:multiLevelType w:val="hybridMultilevel"/>
    <w:tmpl w:val="8B7A305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B435F5C"/>
    <w:multiLevelType w:val="multilevel"/>
    <w:tmpl w:val="1B34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702B19"/>
    <w:multiLevelType w:val="multilevel"/>
    <w:tmpl w:val="4872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984254"/>
    <w:multiLevelType w:val="multilevel"/>
    <w:tmpl w:val="938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A57739"/>
    <w:multiLevelType w:val="multilevel"/>
    <w:tmpl w:val="1004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E72E15"/>
    <w:multiLevelType w:val="multilevel"/>
    <w:tmpl w:val="0998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DA64A9"/>
    <w:multiLevelType w:val="hybridMultilevel"/>
    <w:tmpl w:val="D1DC9D6C"/>
    <w:lvl w:ilvl="0" w:tplc="E5CE8E9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8025F2B"/>
    <w:multiLevelType w:val="multilevel"/>
    <w:tmpl w:val="58C4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738CD"/>
    <w:multiLevelType w:val="multilevel"/>
    <w:tmpl w:val="ADCE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DA7851"/>
    <w:multiLevelType w:val="multilevel"/>
    <w:tmpl w:val="177C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296699"/>
    <w:multiLevelType w:val="multilevel"/>
    <w:tmpl w:val="A432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54252E"/>
    <w:multiLevelType w:val="multilevel"/>
    <w:tmpl w:val="11E6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20"/>
  </w:num>
  <w:num w:numId="5">
    <w:abstractNumId w:val="41"/>
  </w:num>
  <w:num w:numId="6">
    <w:abstractNumId w:val="10"/>
  </w:num>
  <w:num w:numId="7">
    <w:abstractNumId w:val="4"/>
  </w:num>
  <w:num w:numId="8">
    <w:abstractNumId w:val="13"/>
  </w:num>
  <w:num w:numId="9">
    <w:abstractNumId w:val="25"/>
  </w:num>
  <w:num w:numId="10">
    <w:abstractNumId w:val="27"/>
  </w:num>
  <w:num w:numId="11">
    <w:abstractNumId w:val="21"/>
  </w:num>
  <w:num w:numId="12">
    <w:abstractNumId w:val="28"/>
  </w:num>
  <w:num w:numId="13">
    <w:abstractNumId w:val="31"/>
  </w:num>
  <w:num w:numId="14">
    <w:abstractNumId w:val="45"/>
  </w:num>
  <w:num w:numId="15">
    <w:abstractNumId w:val="42"/>
  </w:num>
  <w:num w:numId="16">
    <w:abstractNumId w:val="3"/>
  </w:num>
  <w:num w:numId="17">
    <w:abstractNumId w:val="34"/>
  </w:num>
  <w:num w:numId="18">
    <w:abstractNumId w:val="46"/>
  </w:num>
  <w:num w:numId="19">
    <w:abstractNumId w:val="17"/>
  </w:num>
  <w:num w:numId="20">
    <w:abstractNumId w:val="1"/>
  </w:num>
  <w:num w:numId="21">
    <w:abstractNumId w:val="26"/>
  </w:num>
  <w:num w:numId="22">
    <w:abstractNumId w:val="14"/>
  </w:num>
  <w:num w:numId="23">
    <w:abstractNumId w:val="39"/>
  </w:num>
  <w:num w:numId="24">
    <w:abstractNumId w:val="0"/>
  </w:num>
  <w:num w:numId="25">
    <w:abstractNumId w:val="18"/>
  </w:num>
  <w:num w:numId="26">
    <w:abstractNumId w:val="2"/>
  </w:num>
  <w:num w:numId="27">
    <w:abstractNumId w:val="29"/>
  </w:num>
  <w:num w:numId="28">
    <w:abstractNumId w:val="37"/>
  </w:num>
  <w:num w:numId="29">
    <w:abstractNumId w:val="24"/>
  </w:num>
  <w:num w:numId="30">
    <w:abstractNumId w:val="15"/>
  </w:num>
  <w:num w:numId="31">
    <w:abstractNumId w:val="43"/>
  </w:num>
  <w:num w:numId="32">
    <w:abstractNumId w:val="33"/>
  </w:num>
  <w:num w:numId="33">
    <w:abstractNumId w:val="5"/>
  </w:num>
  <w:num w:numId="34">
    <w:abstractNumId w:val="23"/>
  </w:num>
  <w:num w:numId="35">
    <w:abstractNumId w:val="32"/>
  </w:num>
  <w:num w:numId="36">
    <w:abstractNumId w:val="16"/>
  </w:num>
  <w:num w:numId="37">
    <w:abstractNumId w:val="12"/>
  </w:num>
  <w:num w:numId="38">
    <w:abstractNumId w:val="11"/>
  </w:num>
  <w:num w:numId="39">
    <w:abstractNumId w:val="19"/>
  </w:num>
  <w:num w:numId="40">
    <w:abstractNumId w:val="44"/>
  </w:num>
  <w:num w:numId="41">
    <w:abstractNumId w:val="40"/>
  </w:num>
  <w:num w:numId="42">
    <w:abstractNumId w:val="36"/>
  </w:num>
  <w:num w:numId="43">
    <w:abstractNumId w:val="7"/>
  </w:num>
  <w:num w:numId="44">
    <w:abstractNumId w:val="9"/>
  </w:num>
  <w:num w:numId="45">
    <w:abstractNumId w:val="38"/>
  </w:num>
  <w:num w:numId="46">
    <w:abstractNumId w:val="8"/>
  </w:num>
  <w:num w:numId="47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A7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BD6"/>
    <w:rsid w:val="00203C2A"/>
    <w:rsid w:val="00203C95"/>
    <w:rsid w:val="00203E47"/>
    <w:rsid w:val="00203EDE"/>
    <w:rsid w:val="002041E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E2E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F6D"/>
    <w:rsid w:val="003A2F77"/>
    <w:rsid w:val="003A3225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32"/>
    <w:rsid w:val="004F728A"/>
    <w:rsid w:val="004F72D3"/>
    <w:rsid w:val="004F750D"/>
    <w:rsid w:val="004F75E8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DBD"/>
    <w:rsid w:val="00760EA8"/>
    <w:rsid w:val="00760FF1"/>
    <w:rsid w:val="007611F7"/>
    <w:rsid w:val="0076136D"/>
    <w:rsid w:val="00761372"/>
    <w:rsid w:val="0076150E"/>
    <w:rsid w:val="00761691"/>
    <w:rsid w:val="007616EB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17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E74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FC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19C"/>
    <w:rsid w:val="00CF1448"/>
    <w:rsid w:val="00CF158F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1C5"/>
    <w:rsid w:val="00E54446"/>
    <w:rsid w:val="00E544C2"/>
    <w:rsid w:val="00E544DC"/>
    <w:rsid w:val="00E545CA"/>
    <w:rsid w:val="00E548F2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BC4"/>
    <w:rsid w:val="00F14E42"/>
    <w:rsid w:val="00F14EBB"/>
    <w:rsid w:val="00F14F14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43C9D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F97B-5185-EB42-A844-D1D7D459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334</Words>
  <Characters>1904</Characters>
  <Application>Microsoft Office Word</Application>
  <DocSecurity>0</DocSecurity>
  <Lines>15</Lines>
  <Paragraphs>4</Paragraphs>
  <ScaleCrop>false</ScaleCrop>
  <Company>Astellas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126</cp:revision>
  <cp:lastPrinted>2018-05-28T09:33:00Z</cp:lastPrinted>
  <dcterms:created xsi:type="dcterms:W3CDTF">2018-05-21T10:46:00Z</dcterms:created>
  <dcterms:modified xsi:type="dcterms:W3CDTF">2018-05-28T13:50:00Z</dcterms:modified>
</cp:coreProperties>
</file>